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676DCC" w14:textId="77777777" w:rsidR="00DC581F" w:rsidRDefault="005372CB">
      <w:pPr>
        <w:rPr>
          <w:noProof/>
        </w:rPr>
      </w:pPr>
      <w:r>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58240" behindDoc="1" locked="0" layoutInCell="1" allowOverlap="1" wp14:anchorId="1A7D1DE7" wp14:editId="4CF0F163">
                <wp:simplePos x="0" y="0"/>
                <wp:positionH relativeFrom="column">
                  <wp:posOffset>762000</wp:posOffset>
                </wp:positionH>
                <wp:positionV relativeFrom="paragraph">
                  <wp:posOffset>36195</wp:posOffset>
                </wp:positionV>
                <wp:extent cx="4448175" cy="380365"/>
                <wp:effectExtent l="9525" t="22860" r="9525" b="6350"/>
                <wp:wrapNone/>
                <wp:docPr id="180322044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448175" cy="380365"/>
                        </a:xfrm>
                        <a:prstGeom prst="rect">
                          <a:avLst/>
                        </a:prstGeom>
                        <a:extLst>
                          <a:ext uri="{AF507438-7753-43E0-B8FC-AC1667EBCBE1}">
                            <a14:hiddenEffects xmlns:a14="http://schemas.microsoft.com/office/drawing/2010/main">
                              <a:effectLst/>
                            </a14:hiddenEffects>
                          </a:ext>
                        </a:extLst>
                      </wps:spPr>
                      <wps:txbx>
                        <w:txbxContent>
                          <w:p w14:paraId="20E11B0F" w14:textId="77777777" w:rsidR="005372CB" w:rsidRDefault="005372CB" w:rsidP="005372CB">
                            <w:pPr>
                              <w:jc w:val="center"/>
                              <w:rPr>
                                <w:rFonts w:ascii="Arial Black" w:hAnsi="Arial Black"/>
                                <w:color w:val="009900"/>
                                <w:sz w:val="32"/>
                                <w:szCs w:val="32"/>
                                <w14:textOutline w14:w="9525" w14:cap="flat" w14:cmpd="sng" w14:algn="ctr">
                                  <w14:solidFill>
                                    <w14:srgbClr w14:val="000000"/>
                                  </w14:solidFill>
                                  <w14:prstDash w14:val="solid"/>
                                  <w14:round/>
                                </w14:textOutline>
                              </w:rPr>
                            </w:pPr>
                            <w:r>
                              <w:rPr>
                                <w:rFonts w:ascii="Arial Black" w:hAnsi="Arial Black"/>
                                <w:color w:val="009900"/>
                                <w:sz w:val="32"/>
                                <w:szCs w:val="32"/>
                                <w14:textOutline w14:w="9525" w14:cap="flat" w14:cmpd="sng" w14:algn="ctr">
                                  <w14:solidFill>
                                    <w14:srgbClr w14:val="000000"/>
                                  </w14:solidFill>
                                  <w14:prstDash w14:val="solid"/>
                                  <w14:round/>
                                </w14:textOutline>
                              </w:rPr>
                              <w:t>La notion de disparition</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A7D1DE7" id="_x0000_t202" coordsize="21600,21600" o:spt="202" path="m,l,21600r21600,l21600,xe">
                <v:stroke joinstyle="miter"/>
                <v:path gradientshapeok="t" o:connecttype="rect"/>
              </v:shapetype>
              <v:shape id="Zone de texte 2" o:spid="_x0000_s1026" type="#_x0000_t202" style="position:absolute;margin-left:60pt;margin-top:2.85pt;width:350.25pt;height:29.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" filled="f" stroked="f">
                <o:lock v:ext="edit" shapetype="t"/>
                <v:textbox style="mso-fit-shape-to-text:t">
                  <w:txbxContent>
                    <w:p w14:paraId="20E11B0F" w14:textId="77777777" w:rsidR="005372CB" w:rsidRDefault="005372CB" w:rsidP="005372CB">
                      <w:pPr>
                        <w:jc w:val="center"/>
                        <w:rPr>
                          <w:rFonts w:ascii="Arial Black" w:hAnsi="Arial Black"/>
                          <w:color w:val="009900"/>
                          <w:sz w:val="32"/>
                          <w:szCs w:val="32"/>
                          <w14:textOutline w14:w="9525" w14:cap="flat" w14:cmpd="sng" w14:algn="ctr">
                            <w14:solidFill>
                              <w14:srgbClr w14:val="000000"/>
                            </w14:solidFill>
                            <w14:prstDash w14:val="solid"/>
                            <w14:round/>
                          </w14:textOutline>
                        </w:rPr>
                      </w:pPr>
                      <w:r>
                        <w:rPr>
                          <w:rFonts w:ascii="Arial Black" w:hAnsi="Arial Black"/>
                          <w:color w:val="009900"/>
                          <w:sz w:val="32"/>
                          <w:szCs w:val="32"/>
                          <w14:textOutline w14:w="9525" w14:cap="flat" w14:cmpd="sng" w14:algn="ctr">
                            <w14:solidFill>
                              <w14:srgbClr w14:val="000000"/>
                            </w14:solidFill>
                            <w14:prstDash w14:val="solid"/>
                            <w14:round/>
                          </w14:textOutline>
                        </w:rPr>
                        <w:t>La notion de disparition</w:t>
                      </w:r>
                    </w:p>
                  </w:txbxContent>
                </v:textbox>
              </v:shape>
            </w:pict>
          </mc:Fallback>
        </mc:AlternateContent>
      </w:r>
    </w:p>
    <w:p w14:paraId="0CEBFD3C" w14:textId="77777777" w:rsidR="005372CB" w:rsidRDefault="005372CB" w:rsidP="005372CB">
      <w:pPr>
        <w:rPr>
          <w:noProof/>
        </w:rPr>
      </w:pPr>
    </w:p>
    <w:p w14:paraId="545E9D45" w14:textId="77777777" w:rsidR="005372CB" w:rsidRDefault="005372CB" w:rsidP="005372CB">
      <w:pPr>
        <w:rPr>
          <w:noProof/>
        </w:rPr>
      </w:pPr>
    </w:p>
    <w:p w14:paraId="7783EC99" w14:textId="77777777" w:rsidR="00CB215A" w:rsidRPr="00CB215A" w:rsidRDefault="00CB215A" w:rsidP="005372CB">
      <w:pPr>
        <w:rPr>
          <w:rFonts w:asciiTheme="minorHAnsi" w:hAnsiTheme="minorHAnsi" w:cstheme="minorHAnsi"/>
          <w:noProof/>
        </w:rPr>
      </w:pPr>
    </w:p>
    <w:p w14:paraId="68E793BB" w14:textId="75E0FB7A" w:rsidR="00CB215A" w:rsidRDefault="00CB215A" w:rsidP="00CB215A">
      <w:pPr>
        <w:spacing w:after="0"/>
        <w:jc w:val="right"/>
        <w:rPr>
          <w:rFonts w:asciiTheme="minorHAnsi" w:hAnsiTheme="minorHAnsi" w:cstheme="minorHAnsi"/>
          <w:noProof/>
        </w:rPr>
      </w:pPr>
      <w:r w:rsidRPr="00CB215A">
        <w:rPr>
          <w:rFonts w:asciiTheme="minorHAnsi" w:hAnsiTheme="minorHAnsi" w:cstheme="minorHAnsi"/>
          <w:noProof/>
        </w:rPr>
        <w:t>Auteur : SOLDIS ALGERIE</w:t>
      </w:r>
    </w:p>
    <w:p w14:paraId="2A308B64" w14:textId="58A295A8" w:rsidR="00CB215A" w:rsidRPr="00CB215A" w:rsidRDefault="00CB215A" w:rsidP="00CB215A">
      <w:pPr>
        <w:spacing w:after="0"/>
        <w:jc w:val="right"/>
        <w:rPr>
          <w:rFonts w:asciiTheme="minorHAnsi" w:hAnsiTheme="minorHAnsi" w:cstheme="minorHAnsi"/>
          <w:noProof/>
        </w:rPr>
      </w:pPr>
      <w:r>
        <w:rPr>
          <w:rFonts w:asciiTheme="minorHAnsi" w:hAnsiTheme="minorHAnsi" w:cstheme="minorHAnsi"/>
          <w:noProof/>
        </w:rPr>
        <w:t>01/05/2024</w:t>
      </w:r>
    </w:p>
    <w:p w14:paraId="1F3BE777" w14:textId="77777777" w:rsidR="005372CB" w:rsidRDefault="005372CB">
      <w:pPr>
        <w:rPr>
          <w:noProof/>
        </w:rPr>
      </w:pPr>
    </w:p>
    <w:p w14:paraId="582B7714" w14:textId="57430E71" w:rsidR="005372CB" w:rsidRDefault="005372CB" w:rsidP="005372CB">
      <w:pPr>
        <w:widowControl w:val="0"/>
        <w:spacing w:after="280"/>
        <w:jc w:val="both"/>
        <w:rPr>
          <w:rFonts w:ascii="Calibri" w:hAnsi="Calibri" w:cs="Calibri"/>
          <w:sz w:val="20"/>
          <w:szCs w:val="20"/>
          <w14:ligatures w14:val="none"/>
        </w:rPr>
      </w:pPr>
      <w:r>
        <w:rPr>
          <w:rFonts w:ascii="Calibri" w:hAnsi="Calibri" w:cs="Calibri"/>
          <w:sz w:val="20"/>
          <w:szCs w:val="20"/>
          <w14:ligatures w14:val="none"/>
        </w:rPr>
        <w:t>Lorsque q</w:t>
      </w:r>
      <w:r w:rsidR="00C5589B">
        <w:rPr>
          <w:rFonts w:ascii="Calibri" w:hAnsi="Calibri" w:cs="Calibri"/>
          <w:sz w:val="20"/>
          <w:szCs w:val="20"/>
          <w14:ligatures w14:val="none"/>
        </w:rPr>
        <w:t>ue l’on parle des</w:t>
      </w:r>
      <w:r>
        <w:rPr>
          <w:rFonts w:ascii="Calibri" w:hAnsi="Calibri" w:cs="Calibri"/>
          <w:sz w:val="20"/>
          <w:szCs w:val="20"/>
          <w14:ligatures w14:val="none"/>
        </w:rPr>
        <w:t xml:space="preserve"> « disparus »</w:t>
      </w:r>
      <w:r w:rsidR="00C5589B">
        <w:rPr>
          <w:rFonts w:ascii="Calibri" w:hAnsi="Calibri" w:cs="Calibri"/>
          <w:sz w:val="20"/>
          <w:szCs w:val="20"/>
          <w14:ligatures w14:val="none"/>
        </w:rPr>
        <w:t xml:space="preserve"> de la guerre d’Algérie</w:t>
      </w:r>
      <w:r>
        <w:rPr>
          <w:rFonts w:ascii="Calibri" w:hAnsi="Calibri" w:cs="Calibri"/>
          <w:sz w:val="20"/>
          <w:szCs w:val="20"/>
          <w14:ligatures w14:val="none"/>
        </w:rPr>
        <w:t xml:space="preserve">, il est fréquent que les auditeurs comprennent qu’il s’agit de ceux qui sont morts en Algérie. C’est le sens que l’on donne à l’expression </w:t>
      </w:r>
      <w:r>
        <w:rPr>
          <w:rFonts w:ascii="Calibri" w:hAnsi="Calibri" w:cs="Calibri"/>
          <w:i/>
          <w:iCs/>
          <w:sz w:val="20"/>
          <w:szCs w:val="20"/>
          <w14:ligatures w14:val="none"/>
        </w:rPr>
        <w:t xml:space="preserve">« nos chers disparus », </w:t>
      </w:r>
      <w:r>
        <w:rPr>
          <w:rFonts w:ascii="Calibri" w:hAnsi="Calibri" w:cs="Calibri"/>
          <w:sz w:val="20"/>
          <w:szCs w:val="20"/>
          <w14:ligatures w14:val="none"/>
        </w:rPr>
        <w:t>en parlant de</w:t>
      </w:r>
      <w:r w:rsidR="00C5589B">
        <w:rPr>
          <w:rFonts w:ascii="Calibri" w:hAnsi="Calibri" w:cs="Calibri"/>
          <w:sz w:val="20"/>
          <w:szCs w:val="20"/>
          <w14:ligatures w14:val="none"/>
        </w:rPr>
        <w:t>s morts</w:t>
      </w:r>
      <w:r>
        <w:rPr>
          <w:rFonts w:ascii="Calibri" w:hAnsi="Calibri" w:cs="Calibri"/>
          <w:sz w:val="20"/>
          <w:szCs w:val="20"/>
          <w14:ligatures w14:val="none"/>
        </w:rPr>
        <w:t xml:space="preserve"> qui reposent dans la paix d’un cimetière.</w:t>
      </w:r>
    </w:p>
    <w:p w14:paraId="1684129C" w14:textId="77777777" w:rsidR="005372CB" w:rsidRDefault="005372CB" w:rsidP="005372CB">
      <w:pPr>
        <w:widowControl w:val="0"/>
        <w:spacing w:after="0"/>
        <w:jc w:val="both"/>
        <w:rPr>
          <w:rFonts w:ascii="Calibri" w:hAnsi="Calibri" w:cs="Calibri"/>
          <w:sz w:val="20"/>
          <w:szCs w:val="20"/>
          <w14:ligatures w14:val="none"/>
        </w:rPr>
      </w:pPr>
      <w:r>
        <w:rPr>
          <w:rFonts w:ascii="Calibri" w:hAnsi="Calibri" w:cs="Calibri"/>
          <w:sz w:val="20"/>
          <w:szCs w:val="20"/>
          <w14:ligatures w14:val="none"/>
        </w:rPr>
        <w:t>Or il s’agit précisément ici de ceux qui ne connaissent pas cette paix, car leur corps n’a jamais été retrouvé et nul ne sait où il est inhumé, si tel a été le cas.</w:t>
      </w:r>
    </w:p>
    <w:p w14:paraId="63CAA411" w14:textId="2A1C71A6" w:rsidR="005372CB" w:rsidRDefault="003A21E9" w:rsidP="005372CB">
      <w:pPr>
        <w:widowControl w:val="0"/>
        <w:spacing w:after="0"/>
        <w:jc w:val="both"/>
        <w:rPr>
          <w:rFonts w:ascii="Calibri" w:hAnsi="Calibri" w:cs="Calibri"/>
          <w:sz w:val="20"/>
          <w:szCs w:val="20"/>
          <w14:ligatures w14:val="none"/>
        </w:rPr>
      </w:pPr>
      <w:r>
        <w:rPr>
          <w:rFonts w:ascii="Calibri" w:hAnsi="Calibri" w:cs="Calibri"/>
          <w:sz w:val="20"/>
          <w:szCs w:val="20"/>
          <w14:ligatures w14:val="none"/>
        </w:rPr>
        <w:t>L</w:t>
      </w:r>
      <w:r w:rsidR="005372CB">
        <w:rPr>
          <w:rFonts w:ascii="Calibri" w:hAnsi="Calibri" w:cs="Calibri"/>
          <w:sz w:val="20"/>
          <w:szCs w:val="20"/>
          <w14:ligatures w14:val="none"/>
        </w:rPr>
        <w:t>a guerre d’Algérie a créé ce genre de situation</w:t>
      </w:r>
      <w:r>
        <w:rPr>
          <w:rFonts w:ascii="Calibri" w:hAnsi="Calibri" w:cs="Calibri"/>
          <w:sz w:val="20"/>
          <w:szCs w:val="20"/>
          <w14:ligatures w14:val="none"/>
        </w:rPr>
        <w:t xml:space="preserve">, aussi bien pour </w:t>
      </w:r>
      <w:r w:rsidR="005372CB">
        <w:rPr>
          <w:rFonts w:ascii="Calibri" w:hAnsi="Calibri" w:cs="Calibri"/>
          <w:sz w:val="20"/>
          <w:szCs w:val="20"/>
          <w14:ligatures w14:val="none"/>
        </w:rPr>
        <w:t>un certain nombre de militaires français</w:t>
      </w:r>
      <w:r>
        <w:rPr>
          <w:rFonts w:ascii="Calibri" w:hAnsi="Calibri" w:cs="Calibri"/>
          <w:sz w:val="20"/>
          <w:szCs w:val="20"/>
          <w14:ligatures w14:val="none"/>
        </w:rPr>
        <w:t>,</w:t>
      </w:r>
      <w:r w:rsidR="005372CB">
        <w:rPr>
          <w:rFonts w:ascii="Calibri" w:hAnsi="Calibri" w:cs="Calibri"/>
          <w:sz w:val="20"/>
          <w:szCs w:val="20"/>
          <w14:ligatures w14:val="none"/>
        </w:rPr>
        <w:t xml:space="preserve"> </w:t>
      </w:r>
      <w:r w:rsidR="005372CB">
        <w:rPr>
          <w:rFonts w:ascii="Calibri" w:hAnsi="Calibri" w:cs="Calibri"/>
          <w:i/>
          <w:iCs/>
          <w:sz w:val="20"/>
          <w:szCs w:val="20"/>
          <w14:ligatures w14:val="none"/>
        </w:rPr>
        <w:t xml:space="preserve">« portés disparus », </w:t>
      </w:r>
      <w:r w:rsidR="005372CB">
        <w:rPr>
          <w:rFonts w:ascii="Calibri" w:hAnsi="Calibri" w:cs="Calibri"/>
          <w:sz w:val="20"/>
          <w:szCs w:val="20"/>
          <w14:ligatures w14:val="none"/>
        </w:rPr>
        <w:t>sans que l’on ne retrouve jamais leur corps,</w:t>
      </w:r>
      <w:r>
        <w:rPr>
          <w:rFonts w:ascii="Calibri" w:hAnsi="Calibri" w:cs="Calibri"/>
          <w:sz w:val="20"/>
          <w:szCs w:val="20"/>
          <w14:ligatures w14:val="none"/>
        </w:rPr>
        <w:t xml:space="preserve"> que pour des personnes civiles, enlevées et disparues elles aussi, sans laisser de trace.</w:t>
      </w:r>
    </w:p>
    <w:p w14:paraId="7004FF42" w14:textId="77777777" w:rsidR="005372CB" w:rsidRDefault="005372CB" w:rsidP="005372CB">
      <w:pPr>
        <w:widowControl w:val="0"/>
        <w:spacing w:after="0"/>
        <w:jc w:val="both"/>
        <w:rPr>
          <w:rFonts w:ascii="Calibri" w:hAnsi="Calibri" w:cs="Calibri"/>
          <w:sz w:val="20"/>
          <w:szCs w:val="20"/>
          <w14:ligatures w14:val="none"/>
        </w:rPr>
      </w:pPr>
      <w:r>
        <w:rPr>
          <w:rFonts w:ascii="Calibri" w:hAnsi="Calibri" w:cs="Calibri"/>
          <w:sz w:val="20"/>
          <w:szCs w:val="20"/>
          <w14:ligatures w14:val="none"/>
        </w:rPr>
        <w:t> </w:t>
      </w:r>
    </w:p>
    <w:p w14:paraId="0AC17413" w14:textId="2C8D0B83" w:rsidR="005372CB" w:rsidRDefault="005372CB" w:rsidP="005372CB">
      <w:pPr>
        <w:widowControl w:val="0"/>
        <w:spacing w:after="0"/>
        <w:jc w:val="both"/>
        <w:rPr>
          <w:rFonts w:ascii="Calibri" w:hAnsi="Calibri" w:cs="Calibri"/>
          <w:sz w:val="20"/>
          <w:szCs w:val="20"/>
          <w14:ligatures w14:val="none"/>
        </w:rPr>
      </w:pPr>
      <w:r>
        <w:rPr>
          <w:rFonts w:ascii="Calibri" w:hAnsi="Calibri" w:cs="Calibri"/>
          <w:sz w:val="20"/>
          <w:szCs w:val="20"/>
          <w14:ligatures w14:val="none"/>
        </w:rPr>
        <w:t xml:space="preserve">Militairement, cette situation est connue depuis toujours, car toute guerre engendre </w:t>
      </w:r>
      <w:r w:rsidR="00C5589B">
        <w:rPr>
          <w:rFonts w:ascii="Calibri" w:hAnsi="Calibri" w:cs="Calibri"/>
          <w:sz w:val="20"/>
          <w:szCs w:val="20"/>
          <w14:ligatures w14:val="none"/>
        </w:rPr>
        <w:t>des</w:t>
      </w:r>
      <w:r>
        <w:rPr>
          <w:rFonts w:ascii="Calibri" w:hAnsi="Calibri" w:cs="Calibri"/>
          <w:sz w:val="20"/>
          <w:szCs w:val="20"/>
          <w14:ligatures w14:val="none"/>
        </w:rPr>
        <w:t xml:space="preserve"> disparition</w:t>
      </w:r>
      <w:r w:rsidR="00C5589B">
        <w:rPr>
          <w:rFonts w:ascii="Calibri" w:hAnsi="Calibri" w:cs="Calibri"/>
          <w:sz w:val="20"/>
          <w:szCs w:val="20"/>
          <w14:ligatures w14:val="none"/>
        </w:rPr>
        <w:t>s</w:t>
      </w:r>
      <w:r>
        <w:rPr>
          <w:rFonts w:ascii="Calibri" w:hAnsi="Calibri" w:cs="Calibri"/>
          <w:sz w:val="20"/>
          <w:szCs w:val="20"/>
          <w14:ligatures w14:val="none"/>
        </w:rPr>
        <w:t>. La Première Guerre mondiale en a offert un exemple historiquement élevé. Des dispositions juridiques ont donc été adoptées pour faire face à ces situations qui, outre leur aspect humain, créent toutes sortes de problèmes administratifs pour les familles.</w:t>
      </w:r>
    </w:p>
    <w:p w14:paraId="5905CEDD" w14:textId="7235B9A1" w:rsidR="003A21E9" w:rsidRDefault="005372CB" w:rsidP="003A21E9">
      <w:pPr>
        <w:widowControl w:val="0"/>
        <w:spacing w:after="0"/>
        <w:jc w:val="both"/>
        <w:rPr>
          <w:rFonts w:ascii="Calibri" w:hAnsi="Calibri" w:cs="Calibri"/>
          <w:sz w:val="20"/>
          <w:szCs w:val="20"/>
          <w14:ligatures w14:val="none"/>
        </w:rPr>
      </w:pPr>
      <w:r>
        <w:rPr>
          <w:rFonts w:ascii="Calibri" w:hAnsi="Calibri" w:cs="Calibri"/>
          <w:sz w:val="20"/>
          <w:szCs w:val="20"/>
          <w14:ligatures w14:val="none"/>
        </w:rPr>
        <w:t>Et généralement, à l’issue des conflits, les parties adverses parviennent à un accord pour effectuer des recherches en commun et</w:t>
      </w:r>
      <w:r w:rsidR="003A21E9">
        <w:rPr>
          <w:rFonts w:ascii="Calibri" w:hAnsi="Calibri" w:cs="Calibri"/>
          <w:sz w:val="20"/>
          <w:szCs w:val="20"/>
          <w14:ligatures w14:val="none"/>
        </w:rPr>
        <w:t xml:space="preserve"> permettre</w:t>
      </w:r>
      <w:r>
        <w:rPr>
          <w:rFonts w:ascii="Calibri" w:hAnsi="Calibri" w:cs="Calibri"/>
          <w:sz w:val="20"/>
          <w:szCs w:val="20"/>
          <w14:ligatures w14:val="none"/>
        </w:rPr>
        <w:t xml:space="preserve">, par la découverte de corps, de résoudre certains cas. </w:t>
      </w:r>
    </w:p>
    <w:p w14:paraId="18DAA1B4" w14:textId="74472572" w:rsidR="00C5589B" w:rsidRDefault="00C5589B" w:rsidP="003A21E9">
      <w:pPr>
        <w:widowControl w:val="0"/>
        <w:spacing w:after="0"/>
        <w:jc w:val="both"/>
        <w:rPr>
          <w:rFonts w:ascii="Calibri" w:hAnsi="Calibri" w:cs="Calibri"/>
          <w:sz w:val="20"/>
          <w:szCs w:val="20"/>
          <w14:ligatures w14:val="none"/>
        </w:rPr>
      </w:pPr>
      <w:r>
        <w:rPr>
          <w:rFonts w:ascii="Calibri" w:hAnsi="Calibri" w:cs="Calibri"/>
          <w:sz w:val="20"/>
          <w:szCs w:val="20"/>
          <w14:ligatures w14:val="none"/>
        </w:rPr>
        <w:t>Mais, au sujet de la guerre d’Algérie, la situation est différente car la question des disparitions n’a jamais été réellement prise en compte, aussi bien durant la guerre elle-même qu’à l’issue de celle-ci.</w:t>
      </w:r>
    </w:p>
    <w:p w14:paraId="557A99E4" w14:textId="77777777" w:rsidR="00C5589B" w:rsidRDefault="00C5589B" w:rsidP="003A21E9">
      <w:pPr>
        <w:widowControl w:val="0"/>
        <w:spacing w:after="0"/>
        <w:jc w:val="both"/>
        <w:rPr>
          <w:rFonts w:ascii="Calibri" w:hAnsi="Calibri" w:cs="Calibri"/>
          <w:sz w:val="20"/>
          <w:szCs w:val="20"/>
          <w14:ligatures w14:val="none"/>
        </w:rPr>
      </w:pPr>
    </w:p>
    <w:p w14:paraId="5BAF282E" w14:textId="6616638E" w:rsidR="003A21E9" w:rsidRDefault="003A21E9" w:rsidP="003A21E9">
      <w:pPr>
        <w:widowControl w:val="0"/>
        <w:spacing w:after="0"/>
        <w:jc w:val="both"/>
        <w:rPr>
          <w:rFonts w:ascii="Calibri" w:hAnsi="Calibri" w:cs="Calibri"/>
          <w:sz w:val="20"/>
          <w:szCs w:val="20"/>
          <w14:ligatures w14:val="none"/>
        </w:rPr>
      </w:pPr>
      <w:r>
        <w:rPr>
          <w:rFonts w:ascii="Calibri" w:hAnsi="Calibri" w:cs="Calibri"/>
          <w:sz w:val="20"/>
          <w:szCs w:val="20"/>
          <w14:ligatures w14:val="none"/>
        </w:rPr>
        <w:t xml:space="preserve">Ce site </w:t>
      </w:r>
      <w:r w:rsidR="00CB215A">
        <w:rPr>
          <w:rFonts w:ascii="Calibri" w:hAnsi="Calibri" w:cs="Calibri"/>
          <w:sz w:val="20"/>
          <w:szCs w:val="20"/>
          <w14:ligatures w14:val="none"/>
        </w:rPr>
        <w:t>rappelle</w:t>
      </w:r>
      <w:r>
        <w:rPr>
          <w:rFonts w:ascii="Calibri" w:hAnsi="Calibri" w:cs="Calibri"/>
          <w:sz w:val="20"/>
          <w:szCs w:val="20"/>
          <w14:ligatures w14:val="none"/>
        </w:rPr>
        <w:t xml:space="preserve"> ce drame des disparus de la guerre d’Algérie, civils ou militaires, à une époque où la notion de disparition n’était pas prise en compte par le droit international, qui existe de nos jours, sous la dénomination de « disparition forcée »</w:t>
      </w:r>
      <w:r w:rsidR="00C5589B">
        <w:rPr>
          <w:rFonts w:ascii="Calibri" w:hAnsi="Calibri" w:cs="Calibri"/>
          <w:sz w:val="20"/>
          <w:szCs w:val="20"/>
          <w14:ligatures w14:val="none"/>
        </w:rPr>
        <w:t>, situation à laquelle on peut rattacher le dossier des disparus de la guerre d’Algérie.</w:t>
      </w:r>
    </w:p>
    <w:p w14:paraId="57CB28AE" w14:textId="77777777" w:rsidR="003A21E9" w:rsidRDefault="003A21E9" w:rsidP="003A21E9">
      <w:pPr>
        <w:widowControl w:val="0"/>
        <w:spacing w:after="0"/>
        <w:jc w:val="both"/>
        <w:rPr>
          <w:rFonts w:ascii="Calibri" w:hAnsi="Calibri" w:cs="Calibri"/>
          <w:sz w:val="20"/>
          <w:szCs w:val="20"/>
          <w14:ligatures w14:val="none"/>
        </w:rPr>
      </w:pPr>
    </w:p>
    <w:p w14:paraId="0AA2B219" w14:textId="774DC322" w:rsidR="005372CB" w:rsidRDefault="005372CB" w:rsidP="005372CB">
      <w:pPr>
        <w:widowControl w:val="0"/>
        <w:jc w:val="both"/>
        <w:rPr>
          <w:rFonts w:ascii="Calibri" w:hAnsi="Calibri" w:cs="Calibri"/>
          <w:sz w:val="20"/>
          <w:szCs w:val="20"/>
          <w14:ligatures w14:val="none"/>
        </w:rPr>
      </w:pPr>
      <w:r>
        <w:rPr>
          <w:rFonts w:ascii="Calibri" w:hAnsi="Calibri" w:cs="Calibri"/>
          <w:sz w:val="20"/>
          <w:szCs w:val="20"/>
          <w14:ligatures w14:val="none"/>
        </w:rPr>
        <w:t>Mais les principes énoncés par</w:t>
      </w:r>
      <w:r w:rsidR="003E6669">
        <w:rPr>
          <w:rFonts w:ascii="Calibri" w:hAnsi="Calibri" w:cs="Calibri"/>
          <w:sz w:val="20"/>
          <w:szCs w:val="20"/>
          <w14:ligatures w14:val="none"/>
        </w:rPr>
        <w:t xml:space="preserve"> la</w:t>
      </w:r>
      <w:r>
        <w:rPr>
          <w:rFonts w:ascii="Calibri" w:hAnsi="Calibri" w:cs="Calibri"/>
          <w:sz w:val="20"/>
          <w:szCs w:val="20"/>
          <w14:ligatures w14:val="none"/>
        </w:rPr>
        <w:t xml:space="preserve"> Convention</w:t>
      </w:r>
      <w:r w:rsidR="003E6669">
        <w:rPr>
          <w:rFonts w:ascii="Calibri" w:hAnsi="Calibri" w:cs="Calibri"/>
          <w:sz w:val="20"/>
          <w:szCs w:val="20"/>
          <w14:ligatures w14:val="none"/>
        </w:rPr>
        <w:t xml:space="preserve"> de l’ONU en 2010</w:t>
      </w:r>
      <w:r w:rsidR="00CB215A">
        <w:rPr>
          <w:rFonts w:ascii="Calibri" w:hAnsi="Calibri" w:cs="Calibri"/>
          <w:sz w:val="20"/>
          <w:szCs w:val="20"/>
          <w14:ligatures w14:val="none"/>
        </w:rPr>
        <w:t xml:space="preserve"> </w:t>
      </w:r>
      <w:r w:rsidRPr="003E6669">
        <w:rPr>
          <w:rFonts w:ascii="Calibri" w:hAnsi="Calibri" w:cs="Calibri"/>
          <w:b/>
          <w:bCs/>
          <w:sz w:val="16"/>
          <w:szCs w:val="16"/>
          <w14:ligatures w14:val="none"/>
        </w:rPr>
        <w:t xml:space="preserve"> </w:t>
      </w:r>
      <w:r>
        <w:rPr>
          <w:rFonts w:ascii="Calibri" w:hAnsi="Calibri" w:cs="Calibri"/>
          <w:sz w:val="20"/>
          <w:szCs w:val="20"/>
          <w14:ligatures w14:val="none"/>
        </w:rPr>
        <w:t>n’existaient pas au moment de la guerre d’Algérie, où, de plus, l’adversaire ne relevait pas d’un Etat, au moins jusqu’au 5 juillet 1962 (mais, à cette date, ce n’était plus un adversaire).</w:t>
      </w:r>
    </w:p>
    <w:p w14:paraId="1E972A6C" w14:textId="202A9F2D" w:rsidR="005372CB" w:rsidRDefault="005372CB" w:rsidP="005372CB">
      <w:pPr>
        <w:widowControl w:val="0"/>
        <w:jc w:val="both"/>
        <w:rPr>
          <w:rFonts w:ascii="Calibri" w:hAnsi="Calibri" w:cs="Calibri"/>
          <w:sz w:val="20"/>
          <w:szCs w:val="20"/>
          <w14:ligatures w14:val="none"/>
        </w:rPr>
      </w:pPr>
      <w:r>
        <w:rPr>
          <w:rFonts w:ascii="Calibri" w:hAnsi="Calibri" w:cs="Calibri"/>
          <w:sz w:val="20"/>
          <w:szCs w:val="20"/>
          <w14:ligatures w14:val="none"/>
        </w:rPr>
        <w:t>Il est donc nécessaire de définir ce que pouvait signifier, dans les années cinquante</w:t>
      </w:r>
      <w:r w:rsidR="00B40AA0">
        <w:rPr>
          <w:rFonts w:ascii="Calibri" w:hAnsi="Calibri" w:cs="Calibri"/>
          <w:sz w:val="20"/>
          <w:szCs w:val="20"/>
          <w14:ligatures w14:val="none"/>
        </w:rPr>
        <w:t xml:space="preserve">, aussi bien </w:t>
      </w:r>
      <w:r>
        <w:rPr>
          <w:rFonts w:ascii="Calibri" w:hAnsi="Calibri" w:cs="Calibri"/>
          <w:sz w:val="20"/>
          <w:szCs w:val="20"/>
          <w14:ligatures w14:val="none"/>
        </w:rPr>
        <w:t>dans le cadre militaire</w:t>
      </w:r>
      <w:r w:rsidR="00B40AA0">
        <w:rPr>
          <w:rFonts w:ascii="Calibri" w:hAnsi="Calibri" w:cs="Calibri"/>
          <w:sz w:val="20"/>
          <w:szCs w:val="20"/>
          <w14:ligatures w14:val="none"/>
        </w:rPr>
        <w:t xml:space="preserve"> que civil</w:t>
      </w:r>
      <w:r>
        <w:rPr>
          <w:rFonts w:ascii="Calibri" w:hAnsi="Calibri" w:cs="Calibri"/>
          <w:sz w:val="20"/>
          <w:szCs w:val="20"/>
          <w14:ligatures w14:val="none"/>
        </w:rPr>
        <w:t>, le terme de « disparition ».</w:t>
      </w:r>
    </w:p>
    <w:p w14:paraId="3B08475E" w14:textId="77777777" w:rsidR="00B40AA0" w:rsidRDefault="00B40AA0" w:rsidP="005372CB">
      <w:pPr>
        <w:widowControl w:val="0"/>
        <w:jc w:val="both"/>
        <w:rPr>
          <w:rFonts w:ascii="Calibri" w:hAnsi="Calibri" w:cs="Calibri"/>
          <w:sz w:val="20"/>
          <w:szCs w:val="20"/>
          <w14:ligatures w14:val="none"/>
        </w:rPr>
      </w:pPr>
    </w:p>
    <w:p w14:paraId="2F8E60CC" w14:textId="77777777" w:rsidR="00B40AA0" w:rsidRDefault="00B40AA0" w:rsidP="005372CB">
      <w:pPr>
        <w:widowControl w:val="0"/>
        <w:jc w:val="both"/>
        <w:rPr>
          <w:rFonts w:ascii="Calibri" w:hAnsi="Calibri" w:cs="Calibri"/>
          <w:sz w:val="20"/>
          <w:szCs w:val="20"/>
          <w14:ligatures w14:val="none"/>
        </w:rPr>
      </w:pPr>
    </w:p>
    <w:p w14:paraId="6FDEED95" w14:textId="1D3997AC" w:rsidR="00B40AA0" w:rsidRPr="00B40AA0" w:rsidRDefault="00B40AA0" w:rsidP="005372CB">
      <w:pPr>
        <w:widowControl w:val="0"/>
        <w:jc w:val="both"/>
        <w:rPr>
          <w:rFonts w:ascii="Calibri" w:hAnsi="Calibri" w:cs="Calibri"/>
          <w:b/>
          <w:bCs/>
          <w:sz w:val="22"/>
          <w:szCs w:val="22"/>
          <w:u w:val="single"/>
          <w14:ligatures w14:val="none"/>
        </w:rPr>
      </w:pPr>
      <w:r w:rsidRPr="00B40AA0">
        <w:rPr>
          <w:rFonts w:ascii="Calibri" w:hAnsi="Calibri" w:cs="Calibri"/>
          <w:b/>
          <w:bCs/>
          <w:sz w:val="22"/>
          <w:szCs w:val="22"/>
          <w:u w:val="single"/>
          <w14:ligatures w14:val="none"/>
        </w:rPr>
        <w:t>La notion de disparition en 1962</w:t>
      </w:r>
    </w:p>
    <w:p w14:paraId="284333B3" w14:textId="4FF7C8CB" w:rsidR="005372CB" w:rsidRDefault="005372CB" w:rsidP="005372CB">
      <w:pPr>
        <w:widowControl w:val="0"/>
        <w:jc w:val="both"/>
        <w:rPr>
          <w:rFonts w:ascii="Calibri" w:hAnsi="Calibri" w:cs="Calibri"/>
          <w:sz w:val="20"/>
          <w:szCs w:val="20"/>
          <w14:ligatures w14:val="none"/>
        </w:rPr>
      </w:pPr>
      <w:r>
        <w:rPr>
          <w:rFonts w:ascii="Calibri" w:hAnsi="Calibri" w:cs="Calibri"/>
          <w:sz w:val="20"/>
          <w:szCs w:val="20"/>
          <w14:ligatures w14:val="none"/>
        </w:rPr>
        <w:t>Pour l’armée, comme pour le code civil (Titre IV), la disparition repose tout d’abord sur la notion « d’absence », comprise par le règlement militaire, depuis la guerre de 1870, comme une « absence prolongée ».</w:t>
      </w:r>
    </w:p>
    <w:p w14:paraId="352311ED" w14:textId="77777777" w:rsidR="005372CB" w:rsidRDefault="005372CB" w:rsidP="005372CB">
      <w:pPr>
        <w:widowControl w:val="0"/>
        <w:jc w:val="both"/>
        <w:rPr>
          <w:rFonts w:ascii="Calibri" w:hAnsi="Calibri" w:cs="Calibri"/>
          <w:sz w:val="20"/>
          <w:szCs w:val="20"/>
          <w14:ligatures w14:val="none"/>
        </w:rPr>
      </w:pPr>
      <w:r>
        <w:rPr>
          <w:rFonts w:ascii="Calibri" w:hAnsi="Calibri" w:cs="Calibri"/>
          <w:sz w:val="20"/>
          <w:szCs w:val="20"/>
          <w14:ligatures w14:val="none"/>
        </w:rPr>
        <w:t>Car si, dans le langage courant, le mot "absence" exprime la non présence d'une personne, dans le vocabulaire utilisé par le Titre IV du Code civil, l'absent désigne une personne qui, non seulement n'a pas reparu à son domicile et ne donne plus de ses nouvelles, mais dont tout porte à croire qu'elle est décédée.</w:t>
      </w:r>
    </w:p>
    <w:p w14:paraId="1D7377E8" w14:textId="77777777" w:rsidR="005372CB" w:rsidRDefault="005372CB" w:rsidP="005372CB">
      <w:pPr>
        <w:widowControl w:val="0"/>
        <w:jc w:val="both"/>
        <w:rPr>
          <w:rFonts w:ascii="Calibri" w:hAnsi="Calibri" w:cs="Calibri"/>
          <w:sz w:val="20"/>
          <w:szCs w:val="20"/>
          <w14:ligatures w14:val="none"/>
        </w:rPr>
      </w:pPr>
      <w:r>
        <w:rPr>
          <w:rFonts w:ascii="Calibri" w:hAnsi="Calibri" w:cs="Calibri"/>
          <w:sz w:val="20"/>
          <w:szCs w:val="20"/>
          <w14:ligatures w14:val="none"/>
        </w:rPr>
        <w:t xml:space="preserve">Le cas type est celui de la personne qui est disparue en mer et dont on n'a pas retrouvé le corps ou d'un militaire qui durant un conflit armé n'est pas réapparu à son unité et dont la cause de la disparition n'a eu aucun témoin. </w:t>
      </w:r>
    </w:p>
    <w:p w14:paraId="71CBCBB5" w14:textId="405844E6" w:rsidR="005372CB" w:rsidRDefault="005372CB" w:rsidP="005372CB">
      <w:pPr>
        <w:jc w:val="both"/>
        <w:rPr>
          <w:rFonts w:ascii="Calibri" w:hAnsi="Calibri" w:cs="Calibri"/>
          <w:sz w:val="20"/>
          <w:szCs w:val="20"/>
          <w14:ligatures w14:val="none"/>
        </w:rPr>
      </w:pPr>
      <w:r>
        <w:rPr>
          <w:rFonts w:ascii="Calibri" w:hAnsi="Calibri" w:cs="Calibri"/>
          <w:sz w:val="20"/>
          <w:szCs w:val="20"/>
          <w14:ligatures w14:val="none"/>
        </w:rPr>
        <w:t>L'absence au sens de ces dispositions, déclenche une procédure débouchant sur un jugement</w:t>
      </w:r>
      <w:r w:rsidR="00C5589B">
        <w:rPr>
          <w:rFonts w:ascii="Calibri" w:hAnsi="Calibri" w:cs="Calibri"/>
          <w:sz w:val="20"/>
          <w:szCs w:val="20"/>
          <w14:ligatures w14:val="none"/>
        </w:rPr>
        <w:t xml:space="preserve">, </w:t>
      </w:r>
      <w:r>
        <w:rPr>
          <w:rFonts w:ascii="Calibri" w:hAnsi="Calibri" w:cs="Calibri"/>
          <w:sz w:val="20"/>
          <w:szCs w:val="20"/>
          <w14:ligatures w14:val="none"/>
        </w:rPr>
        <w:t xml:space="preserve">ordonnant des mesures destinées à sauvegarder les droits éventuels de la personne disparue et destinées notamment à permettre à sa famille d'organiser la période de 10 années pendant laquelle l'intéressé sera </w:t>
      </w:r>
      <w:hyperlink r:id="rId8" w:history="1">
        <w:r>
          <w:rPr>
            <w:rStyle w:val="Lienhypertexte"/>
            <w:rFonts w:ascii="Calibri" w:hAnsi="Calibri" w:cs="Calibri"/>
            <w:sz w:val="20"/>
            <w:szCs w:val="20"/>
            <w14:ligatures w14:val="none"/>
          </w:rPr>
          <w:t>présumé</w:t>
        </w:r>
      </w:hyperlink>
      <w:r>
        <w:rPr>
          <w:rFonts w:ascii="Calibri" w:hAnsi="Calibri" w:cs="Calibri"/>
          <w:sz w:val="20"/>
          <w:szCs w:val="20"/>
          <w14:ligatures w14:val="none"/>
        </w:rPr>
        <w:t xml:space="preserve"> disparu et </w:t>
      </w:r>
      <w:r>
        <w:rPr>
          <w:rFonts w:ascii="Calibri" w:hAnsi="Calibri" w:cs="Calibri"/>
          <w:sz w:val="20"/>
          <w:szCs w:val="20"/>
          <w14:ligatures w14:val="none"/>
        </w:rPr>
        <w:lastRenderedPageBreak/>
        <w:t xml:space="preserve">ce jusqu'à ce que, cette période s'étant écoulée, un jugement le déclare juridiquement absent avec toutes les conséquences que cette situation comporte, par exemple l'ouverture de la succession du disparu. </w:t>
      </w:r>
    </w:p>
    <w:p w14:paraId="6E801217" w14:textId="0B5715E2" w:rsidR="00C5589B" w:rsidRDefault="00C5589B" w:rsidP="005372CB">
      <w:pPr>
        <w:jc w:val="both"/>
        <w:rPr>
          <w:rFonts w:ascii="Calibri" w:hAnsi="Calibri" w:cs="Calibri"/>
          <w:sz w:val="20"/>
          <w:szCs w:val="20"/>
          <w14:ligatures w14:val="none"/>
        </w:rPr>
      </w:pPr>
      <w:r>
        <w:rPr>
          <w:rFonts w:ascii="Calibri" w:hAnsi="Calibri" w:cs="Calibri"/>
          <w:sz w:val="20"/>
          <w:szCs w:val="20"/>
          <w14:ligatures w14:val="none"/>
        </w:rPr>
        <w:t>Dans le cas particulier de la guerre d’Algérie, cette procédure a souvent été accélérée, notamment pour les militaires pour lesquels la disparition peut revêtir différents aspects.</w:t>
      </w:r>
    </w:p>
    <w:p w14:paraId="0E6EE946" w14:textId="77777777" w:rsidR="00B40AA0" w:rsidRDefault="00B40AA0" w:rsidP="005372CB">
      <w:pPr>
        <w:jc w:val="both"/>
        <w:rPr>
          <w:rFonts w:ascii="Calibri" w:hAnsi="Calibri" w:cs="Calibri"/>
          <w:sz w:val="20"/>
          <w:szCs w:val="20"/>
          <w14:ligatures w14:val="none"/>
        </w:rPr>
      </w:pPr>
    </w:p>
    <w:p w14:paraId="6665E0A7" w14:textId="77777777" w:rsidR="00B40AA0" w:rsidRDefault="00B40AA0" w:rsidP="005372CB">
      <w:pPr>
        <w:jc w:val="both"/>
        <w:rPr>
          <w:rFonts w:ascii="Calibri" w:hAnsi="Calibri" w:cs="Calibri"/>
          <w:sz w:val="20"/>
          <w:szCs w:val="20"/>
          <w14:ligatures w14:val="none"/>
        </w:rPr>
      </w:pPr>
    </w:p>
    <w:p w14:paraId="41A2275E" w14:textId="6C3AC708" w:rsidR="00C5589B" w:rsidRDefault="008E2482" w:rsidP="005372CB">
      <w:pPr>
        <w:widowControl w:val="0"/>
        <w:jc w:val="both"/>
        <w:rPr>
          <w:rFonts w:ascii="Calibri" w:hAnsi="Calibri" w:cs="Calibri"/>
          <w:sz w:val="16"/>
          <w:szCs w:val="16"/>
          <w14:ligatures w14:val="none"/>
        </w:rPr>
      </w:pPr>
      <w:r>
        <w:rPr>
          <w:rFonts w:asciiTheme="minorHAnsi" w:hAnsiTheme="minorHAnsi" w:cstheme="minorHAnsi"/>
          <w:b/>
          <w:bCs/>
          <w:noProof/>
          <w:sz w:val="22"/>
          <w:szCs w:val="22"/>
          <w:u w:val="single"/>
          <w14:ligatures w14:val="none"/>
          <w14:cntxtAlts w14:val="0"/>
        </w:rPr>
        <mc:AlternateContent>
          <mc:Choice Requires="wps">
            <w:drawing>
              <wp:anchor distT="0" distB="0" distL="114300" distR="114300" simplePos="0" relativeHeight="251665408" behindDoc="0" locked="0" layoutInCell="1" allowOverlap="1" wp14:anchorId="17B533A4" wp14:editId="2C2E1284">
                <wp:simplePos x="0" y="0"/>
                <wp:positionH relativeFrom="column">
                  <wp:posOffset>430072</wp:posOffset>
                </wp:positionH>
                <wp:positionV relativeFrom="paragraph">
                  <wp:posOffset>321208</wp:posOffset>
                </wp:positionV>
                <wp:extent cx="0" cy="329184"/>
                <wp:effectExtent l="38100" t="0" r="38100" b="52070"/>
                <wp:wrapNone/>
                <wp:docPr id="1924107290" name="Connecteur droit 2"/>
                <wp:cNvGraphicFramePr/>
                <a:graphic xmlns:a="http://schemas.openxmlformats.org/drawingml/2006/main">
                  <a:graphicData uri="http://schemas.microsoft.com/office/word/2010/wordprocessingShape">
                    <wps:wsp>
                      <wps:cNvCnPr/>
                      <wps:spPr>
                        <a:xfrm>
                          <a:off x="0" y="0"/>
                          <a:ext cx="0" cy="329184"/>
                        </a:xfrm>
                        <a:prstGeom prst="line">
                          <a:avLst/>
                        </a:prstGeom>
                        <a:ln w="76200">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11BE9C" id="Connecteur droit 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85pt,25.3pt" to="33.85pt,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" strokecolor="#002060" strokeweight="6pt">
                <v:stroke joinstyle="miter"/>
              </v:line>
            </w:pict>
          </mc:Fallback>
        </mc:AlternateContent>
      </w:r>
      <w:r w:rsidRPr="008E2482">
        <w:rPr>
          <w:rFonts w:asciiTheme="minorHAnsi" w:hAnsiTheme="minorHAnsi" w:cstheme="minorHAnsi"/>
          <w:b/>
          <w:bCs/>
          <w:noProof/>
          <w:sz w:val="22"/>
          <w:szCs w:val="22"/>
          <w:u w:val="single"/>
          <w14:ligatures w14:val="none"/>
        </w:rPr>
        <mc:AlternateContent>
          <mc:Choice Requires="wps">
            <w:drawing>
              <wp:anchor distT="45720" distB="45720" distL="114300" distR="114300" simplePos="0" relativeHeight="251663360" behindDoc="0" locked="0" layoutInCell="1" allowOverlap="1" wp14:anchorId="5C521EC1" wp14:editId="7A1D8C11">
                <wp:simplePos x="0" y="0"/>
                <wp:positionH relativeFrom="column">
                  <wp:posOffset>431165</wp:posOffset>
                </wp:positionH>
                <wp:positionV relativeFrom="paragraph">
                  <wp:posOffset>318770</wp:posOffset>
                </wp:positionV>
                <wp:extent cx="5054600" cy="380365"/>
                <wp:effectExtent l="0" t="0" r="0" b="635"/>
                <wp:wrapSquare wrapText="bothSides"/>
                <wp:docPr id="42402935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4600" cy="380365"/>
                        </a:xfrm>
                        <a:prstGeom prst="rect">
                          <a:avLst/>
                        </a:prstGeom>
                        <a:solidFill>
                          <a:srgbClr val="FFFFFF"/>
                        </a:solidFill>
                        <a:ln w="9525">
                          <a:noFill/>
                          <a:miter lim="800000"/>
                          <a:headEnd/>
                          <a:tailEnd/>
                        </a:ln>
                      </wps:spPr>
                      <wps:txbx>
                        <w:txbxContent>
                          <w:p w14:paraId="7F6DA440" w14:textId="1B1BF427" w:rsidR="008E2482" w:rsidRDefault="008E2482" w:rsidP="008E2482">
                            <w:pPr>
                              <w:widowControl w:val="0"/>
                              <w:spacing w:after="0"/>
                              <w:ind w:left="57"/>
                              <w:jc w:val="both"/>
                              <w:rPr>
                                <w:rFonts w:asciiTheme="minorHAnsi" w:hAnsiTheme="minorHAnsi" w:cstheme="minorHAnsi"/>
                                <w:sz w:val="16"/>
                                <w:szCs w:val="16"/>
                              </w:rPr>
                            </w:pPr>
                            <w:r w:rsidRPr="00885D22">
                              <w:rPr>
                                <w:rFonts w:ascii="Calibri" w:hAnsi="Calibri" w:cs="Calibri"/>
                                <w:sz w:val="16"/>
                                <w:szCs w:val="16"/>
                                <w14:ligatures w14:val="none"/>
                              </w:rPr>
                              <w:t>Les travaux concernant les disparus militaires ont été effectués par l’Association nationale pour la mémoire des militaires français portés disparus en Algérie (SOLDIS ALGERIE)</w:t>
                            </w:r>
                          </w:p>
                          <w:p w14:paraId="2C432B74" w14:textId="77777777" w:rsidR="008E2482" w:rsidRDefault="008E2482" w:rsidP="008E248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521EC1" id="_x0000_t202" coordsize="21600,21600" o:spt="202" path="m,l,21600r21600,l21600,xe">
                <v:stroke joinstyle="miter"/>
                <v:path gradientshapeok="t" o:connecttype="rect"/>
              </v:shapetype>
              <v:shape id="_x0000_s1027" type="#_x0000_t202" style="position:absolute;left:0;text-align:left;margin-left:33.95pt;margin-top:25.1pt;width:398pt;height:29.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" stroked="f">
                <v:textbox>
                  <w:txbxContent>
                    <w:p w14:paraId="7F6DA440" w14:textId="1B1BF427" w:rsidR="008E2482" w:rsidRDefault="008E2482" w:rsidP="008E2482">
                      <w:pPr>
                        <w:widowControl w:val="0"/>
                        <w:spacing w:after="0"/>
                        <w:ind w:left="57"/>
                        <w:jc w:val="both"/>
                        <w:rPr>
                          <w:rFonts w:asciiTheme="minorHAnsi" w:hAnsiTheme="minorHAnsi" w:cstheme="minorHAnsi"/>
                          <w:sz w:val="16"/>
                          <w:szCs w:val="16"/>
                        </w:rPr>
                      </w:pPr>
                      <w:r w:rsidRPr="00885D22">
                        <w:rPr>
                          <w:rFonts w:ascii="Calibri" w:hAnsi="Calibri" w:cs="Calibri"/>
                          <w:sz w:val="16"/>
                          <w:szCs w:val="16"/>
                          <w14:ligatures w14:val="none"/>
                        </w:rPr>
                        <w:t>Les travaux concernant les disparus militaires ont été effectués par l’Association nationale pour la mémoire des militaires français portés disparus en Algérie (SOLDIS ALGERIE)</w:t>
                      </w:r>
                    </w:p>
                    <w:p w14:paraId="2C432B74" w14:textId="77777777" w:rsidR="008E2482" w:rsidRDefault="008E2482" w:rsidP="008E2482"/>
                  </w:txbxContent>
                </v:textbox>
                <w10:wrap type="square"/>
              </v:shape>
            </w:pict>
          </mc:Fallback>
        </mc:AlternateContent>
      </w:r>
      <w:r w:rsidR="005372CB" w:rsidRPr="00B40AA0">
        <w:rPr>
          <w:rFonts w:ascii="Calibri" w:hAnsi="Calibri" w:cs="Calibri"/>
          <w:b/>
          <w:bCs/>
          <w:sz w:val="22"/>
          <w:szCs w:val="22"/>
          <w:u w:val="single"/>
          <w14:ligatures w14:val="none"/>
        </w:rPr>
        <w:t>La disparition en milie</w:t>
      </w:r>
      <w:r w:rsidR="005372CB" w:rsidRPr="00885D22">
        <w:rPr>
          <w:rFonts w:ascii="Calibri" w:hAnsi="Calibri" w:cs="Calibri"/>
          <w:b/>
          <w:bCs/>
          <w:sz w:val="22"/>
          <w:szCs w:val="22"/>
          <w:u w:val="single"/>
          <w14:ligatures w14:val="none"/>
        </w:rPr>
        <w:t>u militaire</w:t>
      </w:r>
      <w:r w:rsidR="00885D22">
        <w:rPr>
          <w:rFonts w:ascii="Calibri" w:hAnsi="Calibri" w:cs="Calibri"/>
          <w:sz w:val="16"/>
          <w:szCs w:val="16"/>
          <w14:ligatures w14:val="none"/>
        </w:rPr>
        <w:t xml:space="preserve"> </w:t>
      </w:r>
    </w:p>
    <w:p w14:paraId="6CA6B6A6" w14:textId="25F260D0" w:rsidR="00885D22" w:rsidRPr="00885D22" w:rsidRDefault="00885D22" w:rsidP="008E2482">
      <w:pPr>
        <w:widowControl w:val="0"/>
        <w:ind w:right="567"/>
        <w:jc w:val="both"/>
        <w:rPr>
          <w:rFonts w:ascii="Calibri" w:hAnsi="Calibri" w:cs="Calibri"/>
          <w:b/>
          <w:bCs/>
          <w:sz w:val="22"/>
          <w:szCs w:val="22"/>
          <w:u w:val="single"/>
          <w14:ligatures w14:val="none"/>
        </w:rPr>
      </w:pPr>
    </w:p>
    <w:p w14:paraId="5DAC819C" w14:textId="77777777" w:rsidR="008E2482" w:rsidRDefault="008E2482" w:rsidP="005372CB">
      <w:pPr>
        <w:widowControl w:val="0"/>
        <w:jc w:val="both"/>
        <w:rPr>
          <w:rFonts w:ascii="Calibri" w:hAnsi="Calibri" w:cs="Calibri"/>
          <w:sz w:val="20"/>
          <w:szCs w:val="20"/>
          <w14:ligatures w14:val="none"/>
        </w:rPr>
      </w:pPr>
    </w:p>
    <w:p w14:paraId="2C12DEDD" w14:textId="5E78DC69" w:rsidR="005372CB" w:rsidRPr="005372CB" w:rsidRDefault="005372CB" w:rsidP="005372CB">
      <w:pPr>
        <w:widowControl w:val="0"/>
        <w:jc w:val="both"/>
        <w:rPr>
          <w:rFonts w:ascii="Calibri" w:hAnsi="Calibri" w:cs="Calibri"/>
          <w:sz w:val="20"/>
          <w:szCs w:val="20"/>
          <w14:ligatures w14:val="none"/>
        </w:rPr>
      </w:pPr>
      <w:r>
        <w:rPr>
          <w:rFonts w:ascii="Calibri" w:hAnsi="Calibri" w:cs="Calibri"/>
          <w:sz w:val="20"/>
          <w:szCs w:val="20"/>
          <w14:ligatures w14:val="none"/>
        </w:rPr>
        <w:t xml:space="preserve">La perception de la disparition est </w:t>
      </w:r>
      <w:r w:rsidR="00C5589B">
        <w:rPr>
          <w:rFonts w:ascii="Calibri" w:hAnsi="Calibri" w:cs="Calibri"/>
          <w:sz w:val="20"/>
          <w:szCs w:val="20"/>
          <w14:ligatures w14:val="none"/>
        </w:rPr>
        <w:t>en effet quelque peu</w:t>
      </w:r>
      <w:r>
        <w:rPr>
          <w:rFonts w:ascii="Calibri" w:hAnsi="Calibri" w:cs="Calibri"/>
          <w:sz w:val="20"/>
          <w:szCs w:val="20"/>
          <w14:ligatures w14:val="none"/>
        </w:rPr>
        <w:t xml:space="preserve"> différente dans le milieu militaire où, en dehors de toute cause extérieure du fait d’un ennemi ou de circonstances particulières attestée par des témoins, l’absence prolongée est initialement perçue comme une suspicion de désertion et donc de culpabilité de l’individu.</w:t>
      </w:r>
    </w:p>
    <w:p w14:paraId="6AFC7CC7" w14:textId="77777777" w:rsidR="005372CB" w:rsidRDefault="005372CB" w:rsidP="005372CB">
      <w:pPr>
        <w:widowControl w:val="0"/>
        <w:jc w:val="both"/>
        <w:rPr>
          <w:rFonts w:ascii="Calibri" w:hAnsi="Calibri" w:cs="Calibri"/>
          <w:sz w:val="20"/>
          <w:szCs w:val="20"/>
          <w14:ligatures w14:val="none"/>
        </w:rPr>
      </w:pPr>
      <w:r>
        <w:rPr>
          <w:rFonts w:ascii="Calibri" w:hAnsi="Calibri" w:cs="Calibri"/>
          <w:sz w:val="20"/>
          <w:szCs w:val="20"/>
          <w14:ligatures w14:val="none"/>
        </w:rPr>
        <w:t>Au regard de la loi en effet (Code de justice militaire et Code du service national), tout militaire dont l’absence non justifiée se prolonge au-delà d’une certaine durée est considéré comme déserteur. Cette durée varie en fonction :</w:t>
      </w:r>
    </w:p>
    <w:p w14:paraId="734BDCD8" w14:textId="77777777" w:rsidR="005372CB" w:rsidRDefault="005372CB" w:rsidP="00885D22">
      <w:pPr>
        <w:widowControl w:val="0"/>
        <w:spacing w:after="0"/>
        <w:ind w:left="613" w:hanging="193"/>
        <w:jc w:val="both"/>
        <w:rPr>
          <w:rFonts w:ascii="Calibri" w:hAnsi="Calibri" w:cs="Calibri"/>
          <w:sz w:val="20"/>
          <w:szCs w:val="20"/>
          <w14:ligatures w14:val="none"/>
        </w:rPr>
      </w:pPr>
      <w:r>
        <w:rPr>
          <w:rFonts w:ascii="Symbol" w:hAnsi="Symbol"/>
          <w:sz w:val="20"/>
          <w:szCs w:val="20"/>
          <w:lang w:val="x-none"/>
        </w:rPr>
        <w:t>·</w:t>
      </w:r>
      <w:r>
        <w:t> </w:t>
      </w:r>
      <w:r>
        <w:rPr>
          <w:rFonts w:ascii="Calibri" w:hAnsi="Calibri" w:cs="Calibri"/>
          <w:sz w:val="20"/>
          <w:szCs w:val="20"/>
          <w14:ligatures w14:val="none"/>
        </w:rPr>
        <w:t xml:space="preserve">du lieu (en France ou à l’étranger), </w:t>
      </w:r>
    </w:p>
    <w:p w14:paraId="406442BB" w14:textId="77777777" w:rsidR="005372CB" w:rsidRDefault="005372CB" w:rsidP="00885D22">
      <w:pPr>
        <w:widowControl w:val="0"/>
        <w:spacing w:after="0"/>
        <w:ind w:left="613" w:hanging="193"/>
        <w:jc w:val="both"/>
        <w:rPr>
          <w:rFonts w:ascii="Calibri" w:hAnsi="Calibri" w:cs="Calibri"/>
          <w:sz w:val="20"/>
          <w:szCs w:val="20"/>
          <w14:ligatures w14:val="none"/>
        </w:rPr>
      </w:pPr>
      <w:r>
        <w:rPr>
          <w:rFonts w:ascii="Symbol" w:hAnsi="Symbol"/>
          <w:sz w:val="20"/>
          <w:szCs w:val="20"/>
          <w:lang w:val="x-none"/>
        </w:rPr>
        <w:t>·</w:t>
      </w:r>
      <w:r>
        <w:t> </w:t>
      </w:r>
      <w:r>
        <w:rPr>
          <w:rFonts w:ascii="Calibri" w:hAnsi="Calibri" w:cs="Calibri"/>
          <w:sz w:val="20"/>
          <w:szCs w:val="20"/>
          <w14:ligatures w14:val="none"/>
        </w:rPr>
        <w:t>de la situation de l’intéressé (durée des services)</w:t>
      </w:r>
    </w:p>
    <w:p w14:paraId="6160C7F0" w14:textId="77777777" w:rsidR="005372CB" w:rsidRDefault="005372CB" w:rsidP="00885D22">
      <w:pPr>
        <w:widowControl w:val="0"/>
        <w:spacing w:after="0"/>
        <w:ind w:left="613" w:hanging="193"/>
        <w:jc w:val="both"/>
        <w:rPr>
          <w:rFonts w:ascii="Calibri" w:hAnsi="Calibri" w:cs="Calibri"/>
          <w:sz w:val="20"/>
          <w:szCs w:val="20"/>
          <w14:ligatures w14:val="none"/>
        </w:rPr>
      </w:pPr>
      <w:r>
        <w:rPr>
          <w:rFonts w:ascii="Symbol" w:hAnsi="Symbol"/>
          <w:sz w:val="20"/>
          <w:szCs w:val="20"/>
          <w:lang w:val="x-none"/>
        </w:rPr>
        <w:t>·</w:t>
      </w:r>
      <w:r>
        <w:t> </w:t>
      </w:r>
      <w:r>
        <w:rPr>
          <w:rFonts w:ascii="Calibri" w:hAnsi="Calibri" w:cs="Calibri"/>
          <w:sz w:val="20"/>
          <w:szCs w:val="20"/>
          <w14:ligatures w14:val="none"/>
        </w:rPr>
        <w:t>des circonstances (en temps de paix ou de guerre)</w:t>
      </w:r>
    </w:p>
    <w:p w14:paraId="2BE54A49" w14:textId="77777777" w:rsidR="00885D22" w:rsidRPr="005372CB" w:rsidRDefault="00885D22" w:rsidP="00885D22">
      <w:pPr>
        <w:widowControl w:val="0"/>
        <w:spacing w:after="0"/>
        <w:ind w:left="613" w:hanging="193"/>
        <w:jc w:val="both"/>
        <w:rPr>
          <w:rFonts w:ascii="Calibri" w:hAnsi="Calibri" w:cs="Calibri"/>
          <w:sz w:val="20"/>
          <w:szCs w:val="20"/>
          <w14:ligatures w14:val="none"/>
        </w:rPr>
      </w:pPr>
    </w:p>
    <w:p w14:paraId="58E33161" w14:textId="4F32B664" w:rsidR="005372CB" w:rsidRDefault="005372CB" w:rsidP="005372CB">
      <w:pPr>
        <w:widowControl w:val="0"/>
        <w:jc w:val="both"/>
        <w:rPr>
          <w:rFonts w:ascii="Calibri" w:hAnsi="Calibri" w:cs="Calibri"/>
          <w:sz w:val="20"/>
          <w:szCs w:val="20"/>
          <w14:ligatures w14:val="none"/>
        </w:rPr>
      </w:pPr>
      <w:r>
        <w:rPr>
          <w:rFonts w:ascii="Calibri" w:hAnsi="Calibri" w:cs="Calibri"/>
          <w:sz w:val="20"/>
          <w:szCs w:val="20"/>
          <w14:ligatures w14:val="none"/>
        </w:rPr>
        <w:t>Cette dernière notion soulign</w:t>
      </w:r>
      <w:r w:rsidR="00DC3A39">
        <w:rPr>
          <w:rFonts w:ascii="Calibri" w:hAnsi="Calibri" w:cs="Calibri"/>
          <w:sz w:val="20"/>
          <w:szCs w:val="20"/>
          <w14:ligatures w14:val="none"/>
        </w:rPr>
        <w:t>e</w:t>
      </w:r>
      <w:r>
        <w:rPr>
          <w:rFonts w:ascii="Calibri" w:hAnsi="Calibri" w:cs="Calibri"/>
          <w:sz w:val="20"/>
          <w:szCs w:val="20"/>
          <w14:ligatures w14:val="none"/>
        </w:rPr>
        <w:t xml:space="preserve"> l’ambiguïté de l’appréciation pour ce qui concerne l’Algérie, qui n’a jamais été en état de guerre (au sens juridique du terme) pendant la durée du celle-ci.</w:t>
      </w:r>
    </w:p>
    <w:p w14:paraId="1EEA455C" w14:textId="77777777" w:rsidR="005372CB" w:rsidRDefault="005372CB" w:rsidP="005372CB">
      <w:pPr>
        <w:widowControl w:val="0"/>
        <w:jc w:val="both"/>
        <w:rPr>
          <w:rFonts w:ascii="Calibri" w:hAnsi="Calibri" w:cs="Calibri"/>
          <w:sz w:val="20"/>
          <w:szCs w:val="20"/>
          <w14:ligatures w14:val="none"/>
        </w:rPr>
      </w:pPr>
      <w:r>
        <w:rPr>
          <w:rFonts w:ascii="Calibri" w:hAnsi="Calibri" w:cs="Calibri"/>
          <w:sz w:val="20"/>
          <w:szCs w:val="20"/>
          <w14:ligatures w14:val="none"/>
        </w:rPr>
        <w:t xml:space="preserve">Mais quel que soit ce délai applicable, le chef de corps de l’intéressé informe la gendarmerie au bout de 48 heures, afin de faire effectuer des recherches. </w:t>
      </w:r>
    </w:p>
    <w:p w14:paraId="37270B6E" w14:textId="00EA9031" w:rsidR="00A90761" w:rsidRDefault="00A90761" w:rsidP="005372CB">
      <w:pPr>
        <w:widowControl w:val="0"/>
        <w:jc w:val="both"/>
        <w:rPr>
          <w:rFonts w:ascii="Calibri" w:hAnsi="Calibri" w:cs="Calibri"/>
          <w:sz w:val="20"/>
          <w:szCs w:val="20"/>
          <w14:ligatures w14:val="none"/>
        </w:rPr>
      </w:pPr>
      <w:r>
        <w:rPr>
          <w:rFonts w:ascii="Calibri" w:hAnsi="Calibri" w:cs="Calibri"/>
          <w:sz w:val="20"/>
          <w:szCs w:val="20"/>
          <w14:ligatures w14:val="none"/>
        </w:rPr>
        <w:t xml:space="preserve">On notera enfin que le terme de </w:t>
      </w:r>
      <w:r w:rsidRPr="009B5C9A">
        <w:rPr>
          <w:rFonts w:ascii="Calibri" w:hAnsi="Calibri" w:cs="Calibri"/>
          <w:sz w:val="20"/>
          <w:szCs w:val="20"/>
          <w:u w:val="single"/>
          <w14:ligatures w14:val="none"/>
        </w:rPr>
        <w:t>militaire français</w:t>
      </w:r>
      <w:r>
        <w:rPr>
          <w:rFonts w:ascii="Calibri" w:hAnsi="Calibri" w:cs="Calibri"/>
          <w:sz w:val="20"/>
          <w:szCs w:val="20"/>
          <w14:ligatures w14:val="none"/>
        </w:rPr>
        <w:t xml:space="preserve"> utilisé correspond à la situation administrative de militaires</w:t>
      </w:r>
      <w:r w:rsidR="009B5C9A">
        <w:rPr>
          <w:rFonts w:ascii="Calibri" w:hAnsi="Calibri" w:cs="Calibri"/>
          <w:sz w:val="20"/>
          <w:szCs w:val="20"/>
          <w14:ligatures w14:val="none"/>
        </w:rPr>
        <w:t xml:space="preserve"> (de souche européenne – FSE – comme de souche nord-africaine -FSNA)</w:t>
      </w:r>
      <w:r>
        <w:rPr>
          <w:rFonts w:ascii="Calibri" w:hAnsi="Calibri" w:cs="Calibri"/>
          <w:sz w:val="20"/>
          <w:szCs w:val="20"/>
          <w14:ligatures w14:val="none"/>
        </w:rPr>
        <w:t xml:space="preserve"> appartenant à l’armée régulière</w:t>
      </w:r>
      <w:r w:rsidR="009B5C9A">
        <w:rPr>
          <w:rFonts w:ascii="Calibri" w:hAnsi="Calibri" w:cs="Calibri"/>
          <w:sz w:val="20"/>
          <w:szCs w:val="20"/>
          <w14:ligatures w14:val="none"/>
        </w:rPr>
        <w:t xml:space="preserve"> ou à la Légion étrangère</w:t>
      </w:r>
      <w:r>
        <w:rPr>
          <w:rFonts w:ascii="Calibri" w:hAnsi="Calibri" w:cs="Calibri"/>
          <w:sz w:val="20"/>
          <w:szCs w:val="20"/>
          <w14:ligatures w14:val="none"/>
        </w:rPr>
        <w:t xml:space="preserve">, ce qui exclut toutes les catégories </w:t>
      </w:r>
      <w:r w:rsidR="009B5C9A">
        <w:rPr>
          <w:rFonts w:ascii="Calibri" w:hAnsi="Calibri" w:cs="Calibri"/>
          <w:sz w:val="20"/>
          <w:szCs w:val="20"/>
          <w14:ligatures w14:val="none"/>
        </w:rPr>
        <w:t xml:space="preserve">de supplétifs (harkis) sauf </w:t>
      </w:r>
      <w:r w:rsidR="008E2482">
        <w:rPr>
          <w:rFonts w:ascii="Calibri" w:hAnsi="Calibri" w:cs="Calibri"/>
          <w:sz w:val="20"/>
          <w:szCs w:val="20"/>
          <w14:ligatures w14:val="none"/>
        </w:rPr>
        <w:t>ceux ayant</w:t>
      </w:r>
      <w:r w:rsidR="009B5C9A">
        <w:rPr>
          <w:rFonts w:ascii="Calibri" w:hAnsi="Calibri" w:cs="Calibri"/>
          <w:sz w:val="20"/>
          <w:szCs w:val="20"/>
          <w14:ligatures w14:val="none"/>
        </w:rPr>
        <w:t xml:space="preserve"> contracté un engagement</w:t>
      </w:r>
      <w:r w:rsidR="008E2482">
        <w:rPr>
          <w:rFonts w:ascii="Calibri" w:hAnsi="Calibri" w:cs="Calibri"/>
          <w:sz w:val="20"/>
          <w:szCs w:val="20"/>
          <w14:ligatures w14:val="none"/>
        </w:rPr>
        <w:t xml:space="preserve"> dans l’armée.</w:t>
      </w:r>
    </w:p>
    <w:p w14:paraId="1C739C36" w14:textId="77777777" w:rsidR="005372CB" w:rsidRDefault="005372CB" w:rsidP="005372CB">
      <w:pPr>
        <w:jc w:val="both"/>
        <w:rPr>
          <w:rFonts w:ascii="Calibri" w:hAnsi="Calibri" w:cs="Calibri"/>
          <w:sz w:val="20"/>
          <w:szCs w:val="20"/>
          <w14:ligatures w14:val="none"/>
        </w:rPr>
      </w:pPr>
    </w:p>
    <w:p w14:paraId="083CAB1D" w14:textId="77777777" w:rsidR="005372CB" w:rsidRDefault="005372CB"/>
    <w:p w14:paraId="0FF18D2B" w14:textId="39DC6644" w:rsidR="008E2482" w:rsidRDefault="00B40AA0" w:rsidP="00885D22">
      <w:pPr>
        <w:widowControl w:val="0"/>
        <w:jc w:val="both"/>
        <w:rPr>
          <w:rFonts w:asciiTheme="minorHAnsi" w:hAnsiTheme="minorHAnsi" w:cstheme="minorHAnsi"/>
          <w:sz w:val="16"/>
          <w:szCs w:val="16"/>
          <w14:ligatures w14:val="none"/>
        </w:rPr>
      </w:pPr>
      <w:r w:rsidRPr="00B40AA0">
        <w:rPr>
          <w:rFonts w:asciiTheme="minorHAnsi" w:hAnsiTheme="minorHAnsi" w:cstheme="minorHAnsi"/>
          <w:b/>
          <w:bCs/>
          <w:sz w:val="22"/>
          <w:szCs w:val="22"/>
          <w:u w:val="single"/>
          <w14:ligatures w14:val="none"/>
        </w:rPr>
        <w:t xml:space="preserve">La disparition en milieu </w:t>
      </w:r>
      <w:r w:rsidRPr="00885D22">
        <w:rPr>
          <w:rFonts w:asciiTheme="minorHAnsi" w:hAnsiTheme="minorHAnsi" w:cstheme="minorHAnsi"/>
          <w:b/>
          <w:bCs/>
          <w:sz w:val="22"/>
          <w:szCs w:val="22"/>
          <w:u w:val="single"/>
          <w14:ligatures w14:val="none"/>
        </w:rPr>
        <w:t>civil</w:t>
      </w:r>
      <w:r w:rsidR="00885D22">
        <w:rPr>
          <w:rFonts w:asciiTheme="minorHAnsi" w:hAnsiTheme="minorHAnsi" w:cstheme="minorHAnsi"/>
          <w:sz w:val="22"/>
          <w:szCs w:val="22"/>
          <w14:ligatures w14:val="none"/>
        </w:rPr>
        <w:t xml:space="preserve"> </w:t>
      </w:r>
    </w:p>
    <w:p w14:paraId="6F51D11A" w14:textId="077AEF6C" w:rsidR="008E2482" w:rsidRDefault="00552D63" w:rsidP="008E2482">
      <w:pPr>
        <w:widowControl w:val="0"/>
        <w:spacing w:after="0"/>
        <w:ind w:left="567" w:right="567"/>
        <w:jc w:val="both"/>
        <w:rPr>
          <w:rFonts w:asciiTheme="minorHAnsi" w:hAnsiTheme="minorHAnsi" w:cstheme="minorHAnsi"/>
          <w:b/>
          <w:bCs/>
          <w:sz w:val="22"/>
          <w:szCs w:val="22"/>
          <w:u w:val="single"/>
          <w14:ligatures w14:val="none"/>
        </w:rPr>
      </w:pPr>
      <w:r w:rsidRPr="008E2482">
        <w:rPr>
          <w:rFonts w:asciiTheme="minorHAnsi" w:hAnsiTheme="minorHAnsi" w:cstheme="minorHAnsi"/>
          <w:b/>
          <w:bCs/>
          <w:noProof/>
          <w:sz w:val="22"/>
          <w:szCs w:val="22"/>
          <w:u w:val="single"/>
          <w14:ligatures w14:val="none"/>
        </w:rPr>
        <mc:AlternateContent>
          <mc:Choice Requires="wps">
            <w:drawing>
              <wp:anchor distT="45720" distB="45720" distL="114300" distR="114300" simplePos="0" relativeHeight="251660288" behindDoc="0" locked="0" layoutInCell="1" allowOverlap="1" wp14:anchorId="28DF2703" wp14:editId="4E550C58">
                <wp:simplePos x="0" y="0"/>
                <wp:positionH relativeFrom="column">
                  <wp:posOffset>491490</wp:posOffset>
                </wp:positionH>
                <wp:positionV relativeFrom="paragraph">
                  <wp:posOffset>10795</wp:posOffset>
                </wp:positionV>
                <wp:extent cx="3848100" cy="380365"/>
                <wp:effectExtent l="0" t="0" r="0" b="635"/>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8100" cy="380365"/>
                        </a:xfrm>
                        <a:prstGeom prst="rect">
                          <a:avLst/>
                        </a:prstGeom>
                        <a:solidFill>
                          <a:srgbClr val="FFFFFF"/>
                        </a:solidFill>
                        <a:ln w="9525">
                          <a:noFill/>
                          <a:miter lim="800000"/>
                          <a:headEnd/>
                          <a:tailEnd/>
                        </a:ln>
                      </wps:spPr>
                      <wps:txbx>
                        <w:txbxContent>
                          <w:p w14:paraId="7F2460FA" w14:textId="77777777" w:rsidR="008E2482" w:rsidRDefault="008E2482" w:rsidP="008E2482">
                            <w:pPr>
                              <w:widowControl w:val="0"/>
                              <w:spacing w:after="0"/>
                              <w:ind w:left="57"/>
                              <w:jc w:val="both"/>
                              <w:rPr>
                                <w:rFonts w:asciiTheme="minorHAnsi" w:hAnsiTheme="minorHAnsi" w:cstheme="minorHAnsi"/>
                                <w:sz w:val="16"/>
                                <w:szCs w:val="16"/>
                              </w:rPr>
                            </w:pPr>
                            <w:r>
                              <w:rPr>
                                <w:rFonts w:asciiTheme="minorHAnsi" w:hAnsiTheme="minorHAnsi" w:cstheme="minorHAnsi"/>
                                <w:sz w:val="16"/>
                                <w:szCs w:val="16"/>
                              </w:rPr>
                              <w:t>L</w:t>
                            </w:r>
                            <w:r w:rsidRPr="00885D22">
                              <w:rPr>
                                <w:rFonts w:asciiTheme="minorHAnsi" w:hAnsiTheme="minorHAnsi" w:cstheme="minorHAnsi"/>
                                <w:sz w:val="16"/>
                                <w:szCs w:val="16"/>
                              </w:rPr>
                              <w:t xml:space="preserve">es travaux concernant les disparus civils ont été effectués </w:t>
                            </w:r>
                          </w:p>
                          <w:p w14:paraId="37671D9B" w14:textId="52C90D8D" w:rsidR="008E2482" w:rsidRPr="00552D63" w:rsidRDefault="008E2482" w:rsidP="008E2482">
                            <w:pPr>
                              <w:widowControl w:val="0"/>
                              <w:spacing w:after="0"/>
                              <w:ind w:left="57"/>
                              <w:jc w:val="both"/>
                              <w:rPr>
                                <w:rFonts w:asciiTheme="minorHAnsi" w:hAnsiTheme="minorHAnsi" w:cstheme="minorHAnsi"/>
                                <w:b/>
                                <w:bCs/>
                                <w:sz w:val="16"/>
                                <w:szCs w:val="16"/>
                              </w:rPr>
                            </w:pPr>
                            <w:proofErr w:type="gramStart"/>
                            <w:r w:rsidRPr="00885D22">
                              <w:rPr>
                                <w:rFonts w:asciiTheme="minorHAnsi" w:hAnsiTheme="minorHAnsi" w:cstheme="minorHAnsi"/>
                                <w:sz w:val="16"/>
                                <w:szCs w:val="16"/>
                              </w:rPr>
                              <w:t>par</w:t>
                            </w:r>
                            <w:proofErr w:type="gramEnd"/>
                            <w:r w:rsidRPr="00885D22">
                              <w:rPr>
                                <w:rFonts w:asciiTheme="minorHAnsi" w:hAnsiTheme="minorHAnsi" w:cstheme="minorHAnsi"/>
                                <w:sz w:val="16"/>
                                <w:szCs w:val="16"/>
                              </w:rPr>
                              <w:t xml:space="preserve"> le Groupe de Recherche des Français Disparus en Algérie (GRFDA)</w:t>
                            </w:r>
                          </w:p>
                          <w:p w14:paraId="39669B5A" w14:textId="135C047C" w:rsidR="008E2482" w:rsidRDefault="008E248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DF2703" id="_x0000_s1028" type="#_x0000_t202" style="position:absolute;left:0;text-align:left;margin-left:38.7pt;margin-top:.85pt;width:303pt;height:29.9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" stroked="f">
                <v:textbox>
                  <w:txbxContent>
                    <w:p w14:paraId="7F2460FA" w14:textId="77777777" w:rsidR="008E2482" w:rsidRDefault="008E2482" w:rsidP="008E2482">
                      <w:pPr>
                        <w:widowControl w:val="0"/>
                        <w:spacing w:after="0"/>
                        <w:ind w:left="57"/>
                        <w:jc w:val="both"/>
                        <w:rPr>
                          <w:rFonts w:asciiTheme="minorHAnsi" w:hAnsiTheme="minorHAnsi" w:cstheme="minorHAnsi"/>
                          <w:sz w:val="16"/>
                          <w:szCs w:val="16"/>
                        </w:rPr>
                      </w:pPr>
                      <w:r>
                        <w:rPr>
                          <w:rFonts w:asciiTheme="minorHAnsi" w:hAnsiTheme="minorHAnsi" w:cstheme="minorHAnsi"/>
                          <w:sz w:val="16"/>
                          <w:szCs w:val="16"/>
                        </w:rPr>
                        <w:t>L</w:t>
                      </w:r>
                      <w:r w:rsidRPr="00885D22">
                        <w:rPr>
                          <w:rFonts w:asciiTheme="minorHAnsi" w:hAnsiTheme="minorHAnsi" w:cstheme="minorHAnsi"/>
                          <w:sz w:val="16"/>
                          <w:szCs w:val="16"/>
                        </w:rPr>
                        <w:t xml:space="preserve">es travaux concernant les disparus civils ont été effectués </w:t>
                      </w:r>
                    </w:p>
                    <w:p w14:paraId="37671D9B" w14:textId="52C90D8D" w:rsidR="008E2482" w:rsidRPr="00552D63" w:rsidRDefault="008E2482" w:rsidP="008E2482">
                      <w:pPr>
                        <w:widowControl w:val="0"/>
                        <w:spacing w:after="0"/>
                        <w:ind w:left="57"/>
                        <w:jc w:val="both"/>
                        <w:rPr>
                          <w:rFonts w:asciiTheme="minorHAnsi" w:hAnsiTheme="minorHAnsi" w:cstheme="minorHAnsi"/>
                          <w:b/>
                          <w:bCs/>
                          <w:sz w:val="16"/>
                          <w:szCs w:val="16"/>
                        </w:rPr>
                      </w:pPr>
                      <w:proofErr w:type="gramStart"/>
                      <w:r w:rsidRPr="00885D22">
                        <w:rPr>
                          <w:rFonts w:asciiTheme="minorHAnsi" w:hAnsiTheme="minorHAnsi" w:cstheme="minorHAnsi"/>
                          <w:sz w:val="16"/>
                          <w:szCs w:val="16"/>
                        </w:rPr>
                        <w:t>par</w:t>
                      </w:r>
                      <w:proofErr w:type="gramEnd"/>
                      <w:r w:rsidRPr="00885D22">
                        <w:rPr>
                          <w:rFonts w:asciiTheme="minorHAnsi" w:hAnsiTheme="minorHAnsi" w:cstheme="minorHAnsi"/>
                          <w:sz w:val="16"/>
                          <w:szCs w:val="16"/>
                        </w:rPr>
                        <w:t xml:space="preserve"> le Groupe de Recherche des Français Disparus en Algérie (GRFDA)</w:t>
                      </w:r>
                    </w:p>
                    <w:p w14:paraId="39669B5A" w14:textId="135C047C" w:rsidR="008E2482" w:rsidRDefault="008E2482"/>
                  </w:txbxContent>
                </v:textbox>
                <w10:wrap type="square"/>
              </v:shape>
            </w:pict>
          </mc:Fallback>
        </mc:AlternateContent>
      </w:r>
      <w:r w:rsidR="008E2482">
        <w:rPr>
          <w:rFonts w:asciiTheme="minorHAnsi" w:hAnsiTheme="minorHAnsi" w:cstheme="minorHAnsi"/>
          <w:b/>
          <w:bCs/>
          <w:noProof/>
          <w:sz w:val="22"/>
          <w:szCs w:val="22"/>
          <w:u w:val="single"/>
          <w14:ligatures w14:val="none"/>
          <w14:cntxtAlts w14:val="0"/>
        </w:rPr>
        <mc:AlternateContent>
          <mc:Choice Requires="wps">
            <w:drawing>
              <wp:anchor distT="0" distB="0" distL="114300" distR="114300" simplePos="0" relativeHeight="251661312" behindDoc="0" locked="0" layoutInCell="1" allowOverlap="1" wp14:anchorId="608F143B" wp14:editId="23B41ABE">
                <wp:simplePos x="0" y="0"/>
                <wp:positionH relativeFrom="column">
                  <wp:posOffset>490093</wp:posOffset>
                </wp:positionH>
                <wp:positionV relativeFrom="paragraph">
                  <wp:posOffset>9627</wp:posOffset>
                </wp:positionV>
                <wp:extent cx="0" cy="329184"/>
                <wp:effectExtent l="38100" t="0" r="38100" b="52070"/>
                <wp:wrapNone/>
                <wp:docPr id="810852918" name="Connecteur droit 2"/>
                <wp:cNvGraphicFramePr/>
                <a:graphic xmlns:a="http://schemas.openxmlformats.org/drawingml/2006/main">
                  <a:graphicData uri="http://schemas.microsoft.com/office/word/2010/wordprocessingShape">
                    <wps:wsp>
                      <wps:cNvCnPr/>
                      <wps:spPr>
                        <a:xfrm>
                          <a:off x="0" y="0"/>
                          <a:ext cx="0" cy="329184"/>
                        </a:xfrm>
                        <a:prstGeom prst="line">
                          <a:avLst/>
                        </a:prstGeom>
                        <a:ln w="76200">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B5EF2B" id="Connecteur droit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6pt,.75pt" to="38.6pt,2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" strokecolor="#002060" strokeweight="6pt">
                <v:stroke joinstyle="miter"/>
              </v:line>
            </w:pict>
          </mc:Fallback>
        </mc:AlternateContent>
      </w:r>
    </w:p>
    <w:p w14:paraId="19661263" w14:textId="12CBE6BB" w:rsidR="008E2482" w:rsidRPr="00885D22" w:rsidRDefault="008E2482" w:rsidP="008E2482">
      <w:pPr>
        <w:widowControl w:val="0"/>
        <w:spacing w:after="0"/>
        <w:ind w:left="567" w:right="567"/>
        <w:jc w:val="both"/>
        <w:rPr>
          <w:rFonts w:asciiTheme="minorHAnsi" w:hAnsiTheme="minorHAnsi" w:cstheme="minorHAnsi"/>
          <w:b/>
          <w:bCs/>
          <w:sz w:val="22"/>
          <w:szCs w:val="22"/>
          <w:u w:val="single"/>
          <w14:ligatures w14:val="none"/>
        </w:rPr>
      </w:pPr>
    </w:p>
    <w:p w14:paraId="3ED29CAA" w14:textId="77777777" w:rsidR="008E2482" w:rsidRDefault="008E2482" w:rsidP="00A90761">
      <w:pPr>
        <w:jc w:val="both"/>
        <w:rPr>
          <w:rFonts w:asciiTheme="minorHAnsi" w:hAnsiTheme="minorHAnsi" w:cstheme="minorHAnsi"/>
          <w:sz w:val="20"/>
          <w:szCs w:val="20"/>
        </w:rPr>
      </w:pPr>
    </w:p>
    <w:p w14:paraId="2F779F08" w14:textId="524F1482" w:rsidR="00B40AA0" w:rsidRDefault="00A90761" w:rsidP="00A90761">
      <w:pPr>
        <w:jc w:val="both"/>
        <w:rPr>
          <w:rFonts w:asciiTheme="minorHAnsi" w:hAnsiTheme="minorHAnsi" w:cstheme="minorHAnsi"/>
          <w:sz w:val="20"/>
          <w:szCs w:val="20"/>
        </w:rPr>
      </w:pPr>
      <w:r>
        <w:rPr>
          <w:rFonts w:asciiTheme="minorHAnsi" w:hAnsiTheme="minorHAnsi" w:cstheme="minorHAnsi"/>
          <w:sz w:val="20"/>
          <w:szCs w:val="20"/>
        </w:rPr>
        <w:t xml:space="preserve">C’est à </w:t>
      </w:r>
      <w:r w:rsidR="00EB1286">
        <w:rPr>
          <w:rFonts w:asciiTheme="minorHAnsi" w:hAnsiTheme="minorHAnsi" w:cstheme="minorHAnsi"/>
          <w:sz w:val="20"/>
          <w:szCs w:val="20"/>
        </w:rPr>
        <w:t>la</w:t>
      </w:r>
      <w:r>
        <w:rPr>
          <w:rFonts w:asciiTheme="minorHAnsi" w:hAnsiTheme="minorHAnsi" w:cstheme="minorHAnsi"/>
          <w:sz w:val="20"/>
          <w:szCs w:val="20"/>
        </w:rPr>
        <w:t xml:space="preserve"> catégorie que l’on appelle aujourd’hui les « disparitions forcées » qu’appartiennent les disparus civils de la guerre d’Algérie. Elle concerne un nombre important de </w:t>
      </w:r>
      <w:r w:rsidRPr="00EB1286">
        <w:rPr>
          <w:rFonts w:asciiTheme="minorHAnsi" w:hAnsiTheme="minorHAnsi" w:cstheme="minorHAnsi"/>
          <w:sz w:val="20"/>
          <w:szCs w:val="20"/>
          <w:u w:val="single"/>
        </w:rPr>
        <w:t xml:space="preserve">civils français </w:t>
      </w:r>
      <w:r w:rsidR="00EB1286" w:rsidRPr="00EB1286">
        <w:rPr>
          <w:rFonts w:asciiTheme="minorHAnsi" w:hAnsiTheme="minorHAnsi" w:cstheme="minorHAnsi"/>
          <w:sz w:val="20"/>
          <w:szCs w:val="20"/>
          <w:u w:val="single"/>
        </w:rPr>
        <w:t>de souche européenne</w:t>
      </w:r>
      <w:r w:rsidR="00EB1286">
        <w:rPr>
          <w:rFonts w:asciiTheme="minorHAnsi" w:hAnsiTheme="minorHAnsi" w:cstheme="minorHAnsi"/>
          <w:sz w:val="20"/>
          <w:szCs w:val="20"/>
        </w:rPr>
        <w:t xml:space="preserve"> </w:t>
      </w:r>
      <w:r>
        <w:rPr>
          <w:rFonts w:asciiTheme="minorHAnsi" w:hAnsiTheme="minorHAnsi" w:cstheme="minorHAnsi"/>
          <w:sz w:val="20"/>
          <w:szCs w:val="20"/>
        </w:rPr>
        <w:t>dont on n’a jamais retrouvé le corps ni aucune trace.</w:t>
      </w:r>
    </w:p>
    <w:p w14:paraId="05287685" w14:textId="7A5DFE0B" w:rsidR="00885D22" w:rsidRDefault="00885D22" w:rsidP="00A90761">
      <w:pPr>
        <w:jc w:val="both"/>
        <w:rPr>
          <w:rFonts w:asciiTheme="minorHAnsi" w:hAnsiTheme="minorHAnsi" w:cstheme="minorHAnsi"/>
          <w:sz w:val="20"/>
          <w:szCs w:val="20"/>
        </w:rPr>
      </w:pPr>
      <w:r>
        <w:rPr>
          <w:rFonts w:asciiTheme="minorHAnsi" w:hAnsiTheme="minorHAnsi" w:cstheme="minorHAnsi"/>
          <w:sz w:val="20"/>
          <w:szCs w:val="20"/>
        </w:rPr>
        <w:t xml:space="preserve">Toutefois, compte tenu des circonstances dans lesquelles sont survenues ces disparitions, notamment après le 19 mars 1962, où elles furent le plus nombreuses, </w:t>
      </w:r>
      <w:r w:rsidR="00EB1286">
        <w:rPr>
          <w:rFonts w:asciiTheme="minorHAnsi" w:hAnsiTheme="minorHAnsi" w:cstheme="minorHAnsi"/>
          <w:sz w:val="20"/>
          <w:szCs w:val="20"/>
        </w:rPr>
        <w:t xml:space="preserve">une certaine confusion a pu être faite </w:t>
      </w:r>
      <w:r>
        <w:rPr>
          <w:rFonts w:asciiTheme="minorHAnsi" w:hAnsiTheme="minorHAnsi" w:cstheme="minorHAnsi"/>
          <w:sz w:val="20"/>
          <w:szCs w:val="20"/>
        </w:rPr>
        <w:t xml:space="preserve">sur le sort de certains disparus civils, dont quelques-uns ont pu soit s’évader, soir être retrouvés vivants, soit encore </w:t>
      </w:r>
      <w:r w:rsidR="00EB1286">
        <w:rPr>
          <w:rFonts w:asciiTheme="minorHAnsi" w:hAnsiTheme="minorHAnsi" w:cstheme="minorHAnsi"/>
          <w:sz w:val="20"/>
          <w:szCs w:val="20"/>
        </w:rPr>
        <w:t xml:space="preserve">être </w:t>
      </w:r>
      <w:r>
        <w:rPr>
          <w:rFonts w:asciiTheme="minorHAnsi" w:hAnsiTheme="minorHAnsi" w:cstheme="minorHAnsi"/>
          <w:sz w:val="20"/>
          <w:szCs w:val="20"/>
        </w:rPr>
        <w:t>inhumés à l’insu de leurs proches en un lieu non connu d’eux.</w:t>
      </w:r>
    </w:p>
    <w:p w14:paraId="43A3425C" w14:textId="151A6056" w:rsidR="00885D22" w:rsidRDefault="00885D22" w:rsidP="00A90761">
      <w:pPr>
        <w:jc w:val="both"/>
        <w:rPr>
          <w:rFonts w:asciiTheme="minorHAnsi" w:hAnsiTheme="minorHAnsi" w:cstheme="minorHAnsi"/>
          <w:sz w:val="20"/>
          <w:szCs w:val="20"/>
        </w:rPr>
      </w:pPr>
      <w:r>
        <w:rPr>
          <w:rFonts w:asciiTheme="minorHAnsi" w:hAnsiTheme="minorHAnsi" w:cstheme="minorHAnsi"/>
          <w:sz w:val="20"/>
          <w:szCs w:val="20"/>
        </w:rPr>
        <w:t xml:space="preserve">Le GRFDA a tenu compte de cette situation en caractérisant les </w:t>
      </w:r>
      <w:r w:rsidRPr="00885D22">
        <w:rPr>
          <w:rFonts w:asciiTheme="minorHAnsi" w:hAnsiTheme="minorHAnsi" w:cstheme="minorHAnsi"/>
          <w:i/>
          <w:iCs/>
          <w:sz w:val="20"/>
          <w:szCs w:val="20"/>
        </w:rPr>
        <w:t>« disparus »</w:t>
      </w:r>
      <w:r>
        <w:rPr>
          <w:rFonts w:asciiTheme="minorHAnsi" w:hAnsiTheme="minorHAnsi" w:cstheme="minorHAnsi"/>
          <w:sz w:val="20"/>
          <w:szCs w:val="20"/>
        </w:rPr>
        <w:t xml:space="preserve"> comme des personnes </w:t>
      </w:r>
      <w:r w:rsidRPr="00885D22">
        <w:rPr>
          <w:rFonts w:asciiTheme="minorHAnsi" w:hAnsiTheme="minorHAnsi" w:cstheme="minorHAnsi"/>
          <w:i/>
          <w:iCs/>
          <w:sz w:val="20"/>
          <w:szCs w:val="20"/>
        </w:rPr>
        <w:t xml:space="preserve">« enlevées </w:t>
      </w:r>
      <w:r w:rsidRPr="00DC3A39">
        <w:rPr>
          <w:rFonts w:asciiTheme="minorHAnsi" w:hAnsiTheme="minorHAnsi" w:cstheme="minorHAnsi"/>
          <w:i/>
          <w:iCs/>
          <w:sz w:val="20"/>
          <w:szCs w:val="20"/>
          <w:u w:val="single"/>
        </w:rPr>
        <w:t>toujours</w:t>
      </w:r>
      <w:r w:rsidRPr="00885D22">
        <w:rPr>
          <w:rFonts w:asciiTheme="minorHAnsi" w:hAnsiTheme="minorHAnsi" w:cstheme="minorHAnsi"/>
          <w:i/>
          <w:iCs/>
          <w:sz w:val="20"/>
          <w:szCs w:val="20"/>
        </w:rPr>
        <w:t xml:space="preserve"> portées disparues »</w:t>
      </w:r>
      <w:r>
        <w:rPr>
          <w:rFonts w:asciiTheme="minorHAnsi" w:hAnsiTheme="minorHAnsi" w:cstheme="minorHAnsi"/>
          <w:sz w:val="20"/>
          <w:szCs w:val="20"/>
        </w:rPr>
        <w:t>.</w:t>
      </w:r>
    </w:p>
    <w:p w14:paraId="2D799E8D" w14:textId="17B851A3" w:rsidR="00A90761" w:rsidRDefault="00DC3A39" w:rsidP="00A90761">
      <w:pPr>
        <w:jc w:val="both"/>
        <w:rPr>
          <w:rFonts w:asciiTheme="minorHAnsi" w:hAnsiTheme="minorHAnsi" w:cstheme="minorHAnsi"/>
          <w:sz w:val="20"/>
          <w:szCs w:val="20"/>
        </w:rPr>
      </w:pPr>
      <w:r>
        <w:rPr>
          <w:rFonts w:asciiTheme="minorHAnsi" w:hAnsiTheme="minorHAnsi" w:cstheme="minorHAnsi"/>
          <w:sz w:val="20"/>
          <w:szCs w:val="20"/>
        </w:rPr>
        <w:lastRenderedPageBreak/>
        <w:t xml:space="preserve">Cette précaution permet de réserver le terme </w:t>
      </w:r>
      <w:r>
        <w:rPr>
          <w:rFonts w:asciiTheme="minorHAnsi" w:hAnsiTheme="minorHAnsi" w:cstheme="minorHAnsi"/>
          <w:i/>
          <w:iCs/>
          <w:sz w:val="20"/>
          <w:szCs w:val="20"/>
        </w:rPr>
        <w:t>« disparu »</w:t>
      </w:r>
      <w:r>
        <w:rPr>
          <w:rFonts w:asciiTheme="minorHAnsi" w:hAnsiTheme="minorHAnsi" w:cstheme="minorHAnsi"/>
          <w:sz w:val="20"/>
          <w:szCs w:val="20"/>
        </w:rPr>
        <w:t xml:space="preserve"> à des personnes absentes après un rapt et dont la trace est perdue. </w:t>
      </w:r>
    </w:p>
    <w:p w14:paraId="211A0FA9" w14:textId="26ECDB01" w:rsidR="00DC3A39" w:rsidRDefault="00DC3A39" w:rsidP="00A90761">
      <w:pPr>
        <w:jc w:val="both"/>
        <w:rPr>
          <w:rFonts w:asciiTheme="minorHAnsi" w:hAnsiTheme="minorHAnsi" w:cstheme="minorHAnsi"/>
          <w:sz w:val="20"/>
          <w:szCs w:val="20"/>
        </w:rPr>
      </w:pPr>
      <w:r>
        <w:rPr>
          <w:rFonts w:asciiTheme="minorHAnsi" w:hAnsiTheme="minorHAnsi" w:cstheme="minorHAnsi"/>
          <w:sz w:val="20"/>
          <w:szCs w:val="20"/>
        </w:rPr>
        <w:t>Le nombre des disparitions constatées par le GRFDA est donc moins élevé que les chiffres qui ont pu être précédemment cités, puisqu’il ne prend pas en compte des personnes qui, ayant été considérées comme disparues à un moment donné, ont depuis été soit retrouvées, soit identifiées comme décédées et inhumées.</w:t>
      </w:r>
    </w:p>
    <w:p w14:paraId="15FB76AD" w14:textId="36C8BC59" w:rsidR="00EB1286" w:rsidRDefault="00EB1286" w:rsidP="00A90761">
      <w:pPr>
        <w:jc w:val="both"/>
        <w:rPr>
          <w:rFonts w:asciiTheme="minorHAnsi" w:hAnsiTheme="minorHAnsi" w:cstheme="minorHAnsi"/>
          <w:sz w:val="20"/>
          <w:szCs w:val="20"/>
        </w:rPr>
      </w:pPr>
    </w:p>
    <w:p w14:paraId="5ED0DF5A" w14:textId="77777777" w:rsidR="00CB215A" w:rsidRDefault="00CB215A" w:rsidP="00A90761">
      <w:pPr>
        <w:jc w:val="both"/>
        <w:rPr>
          <w:rFonts w:asciiTheme="minorHAnsi" w:hAnsiTheme="minorHAnsi" w:cstheme="minorHAnsi"/>
          <w:sz w:val="20"/>
          <w:szCs w:val="20"/>
        </w:rPr>
      </w:pPr>
    </w:p>
    <w:p w14:paraId="700D8FCF" w14:textId="6C748CD9" w:rsidR="00CB215A" w:rsidRDefault="00CB215A" w:rsidP="00CB215A">
      <w:pPr>
        <w:spacing w:after="0"/>
        <w:rPr>
          <w:rFonts w:ascii="Calibri" w:hAnsi="Calibri" w:cs="Calibri"/>
          <w:b/>
          <w:bCs/>
          <w:sz w:val="22"/>
          <w:szCs w:val="22"/>
          <w:u w:val="single"/>
          <w14:ligatures w14:val="none"/>
        </w:rPr>
      </w:pPr>
      <w:r>
        <w:rPr>
          <w:rFonts w:ascii="Calibri" w:hAnsi="Calibri" w:cs="Calibri"/>
          <w:b/>
          <w:bCs/>
          <w:sz w:val="22"/>
          <w:szCs w:val="22"/>
          <w:u w:val="single"/>
          <w14:ligatures w14:val="none"/>
        </w:rPr>
        <w:t>La notion de « disparition forcée »</w:t>
      </w:r>
      <w:r w:rsidRPr="00CB215A">
        <w:rPr>
          <w:rFonts w:asciiTheme="minorHAnsi" w:hAnsiTheme="minorHAnsi" w:cstheme="minorHAnsi"/>
          <w:b/>
          <w:bCs/>
          <w:noProof/>
          <w:sz w:val="22"/>
          <w:szCs w:val="22"/>
          <w:u w:val="single"/>
          <w14:ligatures w14:val="none"/>
          <w14:cntxtAlts w14:val="0"/>
        </w:rPr>
        <w:t xml:space="preserve"> </w:t>
      </w:r>
    </w:p>
    <w:p w14:paraId="38B52ABC" w14:textId="146EF469" w:rsidR="00CB215A" w:rsidRDefault="00CB215A" w:rsidP="00CB215A">
      <w:pPr>
        <w:widowControl w:val="0"/>
        <w:jc w:val="both"/>
        <w:rPr>
          <w:rFonts w:ascii="Calibri" w:hAnsi="Calibri" w:cs="Calibri"/>
          <w:sz w:val="20"/>
          <w:szCs w:val="20"/>
          <w14:ligatures w14:val="none"/>
        </w:rPr>
      </w:pPr>
      <w:r w:rsidRPr="008E2482">
        <w:rPr>
          <w:rFonts w:asciiTheme="minorHAnsi" w:hAnsiTheme="minorHAnsi" w:cstheme="minorHAnsi"/>
          <w:b/>
          <w:bCs/>
          <w:noProof/>
          <w:sz w:val="22"/>
          <w:szCs w:val="22"/>
          <w:u w:val="single"/>
          <w14:ligatures w14:val="none"/>
        </w:rPr>
        <mc:AlternateContent>
          <mc:Choice Requires="wps">
            <w:drawing>
              <wp:anchor distT="45720" distB="45720" distL="114300" distR="114300" simplePos="0" relativeHeight="251667456" behindDoc="0" locked="0" layoutInCell="1" allowOverlap="1" wp14:anchorId="29F1EB6D" wp14:editId="082A4D55">
                <wp:simplePos x="0" y="0"/>
                <wp:positionH relativeFrom="column">
                  <wp:posOffset>609600</wp:posOffset>
                </wp:positionH>
                <wp:positionV relativeFrom="paragraph">
                  <wp:posOffset>140335</wp:posOffset>
                </wp:positionV>
                <wp:extent cx="3848100" cy="380365"/>
                <wp:effectExtent l="0" t="0" r="0" b="635"/>
                <wp:wrapSquare wrapText="bothSides"/>
                <wp:docPr id="99598354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8100" cy="380365"/>
                        </a:xfrm>
                        <a:prstGeom prst="rect">
                          <a:avLst/>
                        </a:prstGeom>
                        <a:solidFill>
                          <a:srgbClr val="FFFFFF"/>
                        </a:solidFill>
                        <a:ln w="9525">
                          <a:noFill/>
                          <a:miter lim="800000"/>
                          <a:headEnd/>
                          <a:tailEnd/>
                        </a:ln>
                      </wps:spPr>
                      <wps:txbx>
                        <w:txbxContent>
                          <w:p w14:paraId="214B6FAF" w14:textId="67AE22A3" w:rsidR="00CB215A" w:rsidRPr="00CB215A" w:rsidRDefault="00CB215A" w:rsidP="00CB215A">
                            <w:pPr>
                              <w:widowControl w:val="0"/>
                              <w:spacing w:after="0"/>
                              <w:ind w:left="57"/>
                              <w:jc w:val="both"/>
                              <w:rPr>
                                <w:rFonts w:asciiTheme="minorHAnsi" w:hAnsiTheme="minorHAnsi" w:cstheme="minorHAnsi"/>
                                <w:sz w:val="16"/>
                                <w:szCs w:val="16"/>
                              </w:rPr>
                            </w:pPr>
                            <w:r>
                              <w:rPr>
                                <w:rFonts w:asciiTheme="minorHAnsi" w:hAnsiTheme="minorHAnsi" w:cstheme="minorHAnsi"/>
                                <w:sz w:val="16"/>
                                <w:szCs w:val="16"/>
                              </w:rPr>
                              <w:t>Ces informations se réfèrent à la Convention internationale pour la protection de toutes les personnes contre les disparitions forcées adoptée par l’ONU le 23 décembre 2010</w:t>
                            </w:r>
                          </w:p>
                          <w:p w14:paraId="6608407F" w14:textId="77777777" w:rsidR="00CB215A" w:rsidRDefault="00CB215A" w:rsidP="00CB215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F1EB6D" id="_x0000_s1029" type="#_x0000_t202" style="position:absolute;left:0;text-align:left;margin-left:48pt;margin-top:11.05pt;width:303pt;height:29.9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" stroked="f">
                <v:textbox>
                  <w:txbxContent>
                    <w:p w14:paraId="214B6FAF" w14:textId="67AE22A3" w:rsidR="00CB215A" w:rsidRPr="00CB215A" w:rsidRDefault="00CB215A" w:rsidP="00CB215A">
                      <w:pPr>
                        <w:widowControl w:val="0"/>
                        <w:spacing w:after="0"/>
                        <w:ind w:left="57"/>
                        <w:jc w:val="both"/>
                        <w:rPr>
                          <w:rFonts w:asciiTheme="minorHAnsi" w:hAnsiTheme="minorHAnsi" w:cstheme="minorHAnsi"/>
                          <w:sz w:val="16"/>
                          <w:szCs w:val="16"/>
                        </w:rPr>
                      </w:pPr>
                      <w:r>
                        <w:rPr>
                          <w:rFonts w:asciiTheme="minorHAnsi" w:hAnsiTheme="minorHAnsi" w:cstheme="minorHAnsi"/>
                          <w:sz w:val="16"/>
                          <w:szCs w:val="16"/>
                        </w:rPr>
                        <w:t>Ces informations se réfèrent à la Convention internationale pour la protection de toutes les personnes contre les disparitions forcées adoptée par l’ONU le 23 décembre 2010</w:t>
                      </w:r>
                    </w:p>
                    <w:p w14:paraId="6608407F" w14:textId="77777777" w:rsidR="00CB215A" w:rsidRDefault="00CB215A" w:rsidP="00CB215A"/>
                  </w:txbxContent>
                </v:textbox>
                <w10:wrap type="square"/>
              </v:shape>
            </w:pict>
          </mc:Fallback>
        </mc:AlternateContent>
      </w:r>
      <w:r>
        <w:rPr>
          <w:rFonts w:asciiTheme="minorHAnsi" w:hAnsiTheme="minorHAnsi" w:cstheme="minorHAnsi"/>
          <w:b/>
          <w:bCs/>
          <w:noProof/>
          <w:sz w:val="22"/>
          <w:szCs w:val="22"/>
          <w:u w:val="single"/>
          <w14:ligatures w14:val="none"/>
          <w14:cntxtAlts w14:val="0"/>
        </w:rPr>
        <mc:AlternateContent>
          <mc:Choice Requires="wps">
            <w:drawing>
              <wp:anchor distT="0" distB="0" distL="114300" distR="114300" simplePos="0" relativeHeight="251669504" behindDoc="0" locked="0" layoutInCell="1" allowOverlap="1" wp14:anchorId="75C8FC41" wp14:editId="3B20BD12">
                <wp:simplePos x="0" y="0"/>
                <wp:positionH relativeFrom="column">
                  <wp:posOffset>609600</wp:posOffset>
                </wp:positionH>
                <wp:positionV relativeFrom="paragraph">
                  <wp:posOffset>140970</wp:posOffset>
                </wp:positionV>
                <wp:extent cx="0" cy="329184"/>
                <wp:effectExtent l="38100" t="0" r="38100" b="52070"/>
                <wp:wrapNone/>
                <wp:docPr id="1480225449" name="Connecteur droit 2"/>
                <wp:cNvGraphicFramePr/>
                <a:graphic xmlns:a="http://schemas.openxmlformats.org/drawingml/2006/main">
                  <a:graphicData uri="http://schemas.microsoft.com/office/word/2010/wordprocessingShape">
                    <wps:wsp>
                      <wps:cNvCnPr/>
                      <wps:spPr>
                        <a:xfrm>
                          <a:off x="0" y="0"/>
                          <a:ext cx="0" cy="329184"/>
                        </a:xfrm>
                        <a:prstGeom prst="line">
                          <a:avLst/>
                        </a:prstGeom>
                        <a:ln w="76200">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2B08F9" id="Connecteur droit 2"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11.1pt" to="48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" strokecolor="#002060" strokeweight="6pt">
                <v:stroke joinstyle="miter"/>
              </v:line>
            </w:pict>
          </mc:Fallback>
        </mc:AlternateContent>
      </w:r>
    </w:p>
    <w:p w14:paraId="1A2AEA5F" w14:textId="38E2C62E" w:rsidR="00CB215A" w:rsidRDefault="00CB215A" w:rsidP="00CB215A">
      <w:pPr>
        <w:widowControl w:val="0"/>
        <w:jc w:val="both"/>
        <w:rPr>
          <w:rFonts w:ascii="Calibri" w:hAnsi="Calibri" w:cs="Calibri"/>
          <w:sz w:val="20"/>
          <w:szCs w:val="20"/>
          <w14:ligatures w14:val="none"/>
        </w:rPr>
      </w:pPr>
    </w:p>
    <w:p w14:paraId="45CF12BA" w14:textId="77777777" w:rsidR="00CB215A" w:rsidRDefault="00CB215A" w:rsidP="00CB215A">
      <w:pPr>
        <w:widowControl w:val="0"/>
        <w:jc w:val="both"/>
        <w:rPr>
          <w:rFonts w:ascii="Calibri" w:hAnsi="Calibri" w:cs="Calibri"/>
          <w:sz w:val="20"/>
          <w:szCs w:val="20"/>
          <w14:ligatures w14:val="none"/>
        </w:rPr>
      </w:pPr>
    </w:p>
    <w:p w14:paraId="5352F734" w14:textId="77314872" w:rsidR="00CB215A" w:rsidRDefault="00CB215A" w:rsidP="00CB215A">
      <w:pPr>
        <w:widowControl w:val="0"/>
        <w:jc w:val="both"/>
        <w:rPr>
          <w:rFonts w:ascii="Calibri" w:hAnsi="Calibri" w:cs="Calibri"/>
          <w:sz w:val="20"/>
          <w:szCs w:val="20"/>
          <w14:ligatures w14:val="none"/>
        </w:rPr>
      </w:pPr>
      <w:r>
        <w:rPr>
          <w:rFonts w:ascii="Calibri" w:hAnsi="Calibri" w:cs="Calibri"/>
          <w:sz w:val="20"/>
          <w:szCs w:val="20"/>
          <w14:ligatures w14:val="none"/>
        </w:rPr>
        <w:t xml:space="preserve">Cette notion de disparition forcée, définie comme </w:t>
      </w:r>
      <w:r>
        <w:rPr>
          <w:rFonts w:ascii="Calibri" w:hAnsi="Calibri" w:cs="Calibri"/>
          <w:b/>
          <w:bCs/>
          <w:i/>
          <w:iCs/>
          <w:sz w:val="20"/>
          <w:szCs w:val="20"/>
          <w14:ligatures w14:val="none"/>
        </w:rPr>
        <w:t>« un enlèvement pour des motifs politiques, non suivis de revendications, et dont les auteurs agissent pour le compte ou avec l’aval d’un Etat »</w:t>
      </w:r>
      <w:r>
        <w:rPr>
          <w:rFonts w:ascii="Calibri" w:hAnsi="Calibri" w:cs="Calibri"/>
          <w:sz w:val="20"/>
          <w:szCs w:val="20"/>
          <w14:ligatures w14:val="none"/>
        </w:rPr>
        <w:t xml:space="preserve">, a été définie à la suite de la  </w:t>
      </w:r>
      <w:hyperlink r:id="rId9" w:history="1">
        <w:r>
          <w:rPr>
            <w:rStyle w:val="Lienhypertexte"/>
            <w:rFonts w:ascii="Calibri" w:hAnsi="Calibri" w:cs="Calibri"/>
            <w:sz w:val="20"/>
            <w:szCs w:val="20"/>
            <w14:ligatures w14:val="none"/>
          </w:rPr>
          <w:t>Déclaration sur la protection de toutes les personnes contre les disparitions forcées</w:t>
        </w:r>
      </w:hyperlink>
      <w:r>
        <w:rPr>
          <w:rFonts w:ascii="Calibri" w:hAnsi="Calibri" w:cs="Calibri"/>
          <w:sz w:val="20"/>
          <w:szCs w:val="20"/>
          <w14:ligatures w14:val="none"/>
        </w:rPr>
        <w:t>, adoptée par l’Assemblée générale des Nations unies dans sa résolution 47/133 du 18 décembre 1992.</w:t>
      </w:r>
    </w:p>
    <w:p w14:paraId="30E25B3C" w14:textId="77777777" w:rsidR="00CB215A" w:rsidRDefault="00CB215A" w:rsidP="00CB215A">
      <w:pPr>
        <w:widowControl w:val="0"/>
        <w:jc w:val="both"/>
        <w:rPr>
          <w:rFonts w:ascii="Calibri" w:hAnsi="Calibri" w:cs="Calibri"/>
          <w:sz w:val="20"/>
          <w:szCs w:val="20"/>
          <w14:ligatures w14:val="none"/>
        </w:rPr>
      </w:pPr>
      <w:r>
        <w:rPr>
          <w:rFonts w:ascii="Calibri" w:hAnsi="Calibri" w:cs="Calibri"/>
          <w:sz w:val="20"/>
          <w:szCs w:val="20"/>
          <w14:ligatures w14:val="none"/>
        </w:rPr>
        <w:t>Ces disparitions non élucidées et impunies constituent des violations graves des droits de l’homme que l’Organisation des Nations Unies a jugé indispensable de combattre, en adoptant, en 2010, une Convention à ce sujet. Ce texte définit la disparition forcée :</w:t>
      </w:r>
    </w:p>
    <w:p w14:paraId="76D2E25D" w14:textId="77777777" w:rsidR="00CB215A" w:rsidRDefault="00CB215A" w:rsidP="00CB215A">
      <w:pPr>
        <w:widowControl w:val="0"/>
        <w:ind w:left="540"/>
        <w:jc w:val="both"/>
        <w:rPr>
          <w:rFonts w:ascii="Calibri" w:hAnsi="Calibri" w:cs="Calibri"/>
          <w:sz w:val="20"/>
          <w:szCs w:val="20"/>
          <w14:ligatures w14:val="none"/>
        </w:rPr>
      </w:pPr>
      <w:r>
        <w:rPr>
          <w:rFonts w:ascii="Calibri" w:hAnsi="Calibri" w:cs="Calibri"/>
          <w:i/>
          <w:iCs/>
          <w:sz w:val="20"/>
          <w:szCs w:val="20"/>
          <w14:ligatures w14:val="none"/>
        </w:rPr>
        <w:t>« </w:t>
      </w:r>
      <w:proofErr w:type="gramStart"/>
      <w:r>
        <w:rPr>
          <w:rFonts w:ascii="Calibri" w:hAnsi="Calibri" w:cs="Calibri"/>
          <w:i/>
          <w:iCs/>
          <w:sz w:val="20"/>
          <w:szCs w:val="20"/>
          <w14:ligatures w14:val="none"/>
        </w:rPr>
        <w:t>on</w:t>
      </w:r>
      <w:proofErr w:type="gramEnd"/>
      <w:r>
        <w:rPr>
          <w:rFonts w:ascii="Calibri" w:hAnsi="Calibri" w:cs="Calibri"/>
          <w:i/>
          <w:iCs/>
          <w:sz w:val="20"/>
          <w:szCs w:val="20"/>
          <w14:ligatures w14:val="none"/>
        </w:rPr>
        <w:t xml:space="preserve"> entend par « disparition forcée » l'arrestation, la détention, l'enlèvement ou toute autre forme de privation de liberté par des agents de l'État ou par des personnes ou des groupes de personnes qui agissent avec l'autorisation, l'appui ou l'acquiescement de l'État, suivi du déni de la reconnaissance de la privation de liberté ou de la dissimulation du sort réservé à la personne disparue ou du lieu où elle se trouve, la soustrayant à la protection de la loi ». </w:t>
      </w:r>
    </w:p>
    <w:p w14:paraId="67DBA31D" w14:textId="77777777" w:rsidR="00CB215A" w:rsidRDefault="00CB215A" w:rsidP="00A90761">
      <w:pPr>
        <w:jc w:val="both"/>
        <w:rPr>
          <w:rFonts w:asciiTheme="minorHAnsi" w:hAnsiTheme="minorHAnsi" w:cstheme="minorHAnsi"/>
          <w:sz w:val="20"/>
          <w:szCs w:val="20"/>
        </w:rPr>
      </w:pPr>
    </w:p>
    <w:p w14:paraId="25698A99" w14:textId="65CFA777" w:rsidR="00EB1286" w:rsidRDefault="00EB1286" w:rsidP="00A90761">
      <w:pPr>
        <w:jc w:val="both"/>
        <w:rPr>
          <w:rFonts w:asciiTheme="minorHAnsi" w:hAnsiTheme="minorHAnsi" w:cstheme="minorHAnsi"/>
          <w:sz w:val="20"/>
          <w:szCs w:val="20"/>
        </w:rPr>
      </w:pPr>
    </w:p>
    <w:p w14:paraId="64A16F26" w14:textId="59A88141" w:rsidR="00DC3A39" w:rsidRDefault="00DC3A39" w:rsidP="00A90761">
      <w:pPr>
        <w:jc w:val="both"/>
        <w:rPr>
          <w:rFonts w:asciiTheme="minorHAnsi" w:hAnsiTheme="minorHAnsi" w:cstheme="minorHAnsi"/>
          <w:sz w:val="20"/>
          <w:szCs w:val="20"/>
        </w:rPr>
      </w:pPr>
    </w:p>
    <w:p w14:paraId="07E181CA" w14:textId="6CD91918" w:rsidR="00DC3A39" w:rsidRDefault="00DC3A39" w:rsidP="00A90761">
      <w:pPr>
        <w:jc w:val="both"/>
        <w:rPr>
          <w:rFonts w:asciiTheme="minorHAnsi" w:hAnsiTheme="minorHAnsi" w:cstheme="minorHAnsi"/>
          <w:sz w:val="20"/>
          <w:szCs w:val="20"/>
        </w:rPr>
      </w:pPr>
    </w:p>
    <w:p w14:paraId="399BA29C" w14:textId="4DC32D03" w:rsidR="00DC3A39" w:rsidRPr="00DC3A39" w:rsidRDefault="00DC3A39" w:rsidP="00A90761">
      <w:pPr>
        <w:jc w:val="both"/>
        <w:rPr>
          <w:rFonts w:asciiTheme="minorHAnsi" w:hAnsiTheme="minorHAnsi" w:cstheme="minorHAnsi"/>
          <w:sz w:val="20"/>
          <w:szCs w:val="20"/>
        </w:rPr>
      </w:pPr>
    </w:p>
    <w:p w14:paraId="3F473187" w14:textId="70D2CE18" w:rsidR="00A90761" w:rsidRDefault="00A90761" w:rsidP="00B40AA0">
      <w:pPr>
        <w:rPr>
          <w:rFonts w:asciiTheme="minorHAnsi" w:hAnsiTheme="minorHAnsi" w:cstheme="minorHAnsi"/>
          <w:sz w:val="20"/>
          <w:szCs w:val="20"/>
        </w:rPr>
      </w:pPr>
    </w:p>
    <w:p w14:paraId="37D018EC" w14:textId="364FA543" w:rsidR="00B40AA0" w:rsidRPr="00B40AA0" w:rsidRDefault="00B40AA0" w:rsidP="00B40AA0">
      <w:pPr>
        <w:rPr>
          <w:rFonts w:asciiTheme="minorHAnsi" w:hAnsiTheme="minorHAnsi" w:cstheme="minorHAnsi"/>
          <w:sz w:val="20"/>
          <w:szCs w:val="20"/>
        </w:rPr>
      </w:pPr>
    </w:p>
    <w:p w14:paraId="573FA1B4" w14:textId="5FA4A4A1" w:rsidR="00B40AA0" w:rsidRPr="00B40AA0" w:rsidRDefault="00B40AA0" w:rsidP="00B40AA0">
      <w:pPr>
        <w:rPr>
          <w:rFonts w:asciiTheme="minorHAnsi" w:hAnsiTheme="minorHAnsi" w:cstheme="minorHAnsi"/>
        </w:rPr>
      </w:pPr>
    </w:p>
    <w:sectPr w:rsidR="00B40AA0" w:rsidRPr="00B40AA0">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21B73E" w14:textId="77777777" w:rsidR="005372CB" w:rsidRDefault="005372CB" w:rsidP="005372CB">
      <w:pPr>
        <w:spacing w:after="0" w:line="240" w:lineRule="auto"/>
      </w:pPr>
      <w:r>
        <w:separator/>
      </w:r>
    </w:p>
  </w:endnote>
  <w:endnote w:type="continuationSeparator" w:id="0">
    <w:p w14:paraId="123402E9" w14:textId="77777777" w:rsidR="005372CB" w:rsidRDefault="005372CB" w:rsidP="00537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erpetua">
    <w:panose1 w:val="02020502060401020303"/>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00444370"/>
      <w:docPartObj>
        <w:docPartGallery w:val="Page Numbers (Bottom of Page)"/>
        <w:docPartUnique/>
      </w:docPartObj>
    </w:sdtPr>
    <w:sdtEndPr/>
    <w:sdtContent>
      <w:p w14:paraId="210F2A2F" w14:textId="77777777" w:rsidR="005372CB" w:rsidRDefault="005372CB">
        <w:pPr>
          <w:pStyle w:val="Pieddepage"/>
          <w:jc w:val="center"/>
        </w:pPr>
        <w:r>
          <w:fldChar w:fldCharType="begin"/>
        </w:r>
        <w:r>
          <w:instrText>PAGE   \* MERGEFORMAT</w:instrText>
        </w:r>
        <w:r>
          <w:fldChar w:fldCharType="separate"/>
        </w:r>
        <w:r>
          <w:t>2</w:t>
        </w:r>
        <w:r>
          <w:fldChar w:fldCharType="end"/>
        </w:r>
      </w:p>
    </w:sdtContent>
  </w:sdt>
  <w:p w14:paraId="5DD20E1C" w14:textId="77777777" w:rsidR="005372CB" w:rsidRDefault="005372C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6942AF" w14:textId="77777777" w:rsidR="005372CB" w:rsidRDefault="005372CB" w:rsidP="005372CB">
      <w:pPr>
        <w:spacing w:after="0" w:line="240" w:lineRule="auto"/>
      </w:pPr>
      <w:r>
        <w:separator/>
      </w:r>
    </w:p>
  </w:footnote>
  <w:footnote w:type="continuationSeparator" w:id="0">
    <w:p w14:paraId="70A16918" w14:textId="77777777" w:rsidR="005372CB" w:rsidRDefault="005372CB" w:rsidP="00537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4DED0D" w14:textId="77777777" w:rsidR="005372CB" w:rsidRDefault="005372CB">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414195"/>
    <w:multiLevelType w:val="hybridMultilevel"/>
    <w:tmpl w:val="74DA68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3340696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2CB"/>
    <w:rsid w:val="003A21E9"/>
    <w:rsid w:val="003E118D"/>
    <w:rsid w:val="003E6669"/>
    <w:rsid w:val="00494723"/>
    <w:rsid w:val="005372CB"/>
    <w:rsid w:val="00552D63"/>
    <w:rsid w:val="00644A63"/>
    <w:rsid w:val="008272B5"/>
    <w:rsid w:val="00885D22"/>
    <w:rsid w:val="008C54AE"/>
    <w:rsid w:val="008E2482"/>
    <w:rsid w:val="009B5C9A"/>
    <w:rsid w:val="00A90761"/>
    <w:rsid w:val="00B40AA0"/>
    <w:rsid w:val="00C5589B"/>
    <w:rsid w:val="00CB215A"/>
    <w:rsid w:val="00DC3A39"/>
    <w:rsid w:val="00DC581F"/>
    <w:rsid w:val="00E74F72"/>
    <w:rsid w:val="00EB1286"/>
    <w:rsid w:val="00F437CA"/>
    <w:rsid w:val="00FA43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DDEED"/>
  <w15:chartTrackingRefBased/>
  <w15:docId w15:val="{090E234A-9AF1-4D31-A029-C311512DE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72CB"/>
    <w:pPr>
      <w:spacing w:after="120" w:line="264" w:lineRule="auto"/>
    </w:pPr>
    <w:rPr>
      <w:rFonts w:ascii="Perpetua" w:eastAsia="Times New Roman" w:hAnsi="Perpetua" w:cs="Times New Roman"/>
      <w:color w:val="000000"/>
      <w:kern w:val="28"/>
      <w:sz w:val="21"/>
      <w:szCs w:val="21"/>
      <w:lang w:eastAsia="fr-FR"/>
      <w14:ligatures w14:val="standard"/>
      <w14:cntxtAlt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5372CB"/>
    <w:rPr>
      <w:color w:val="663300"/>
      <w:u w:val="single"/>
    </w:rPr>
  </w:style>
  <w:style w:type="paragraph" w:styleId="En-tte">
    <w:name w:val="header"/>
    <w:basedOn w:val="Normal"/>
    <w:link w:val="En-tteCar"/>
    <w:uiPriority w:val="99"/>
    <w:unhideWhenUsed/>
    <w:rsid w:val="005372CB"/>
    <w:pPr>
      <w:tabs>
        <w:tab w:val="center" w:pos="4536"/>
        <w:tab w:val="right" w:pos="9072"/>
      </w:tabs>
      <w:spacing w:after="0" w:line="240" w:lineRule="auto"/>
    </w:pPr>
  </w:style>
  <w:style w:type="character" w:customStyle="1" w:styleId="En-tteCar">
    <w:name w:val="En-tête Car"/>
    <w:basedOn w:val="Policepardfaut"/>
    <w:link w:val="En-tte"/>
    <w:uiPriority w:val="99"/>
    <w:rsid w:val="005372CB"/>
    <w:rPr>
      <w:rFonts w:ascii="Perpetua" w:eastAsia="Times New Roman" w:hAnsi="Perpetua" w:cs="Times New Roman"/>
      <w:color w:val="000000"/>
      <w:kern w:val="28"/>
      <w:sz w:val="21"/>
      <w:szCs w:val="21"/>
      <w:lang w:eastAsia="fr-FR"/>
      <w14:ligatures w14:val="standard"/>
      <w14:cntxtAlts/>
    </w:rPr>
  </w:style>
  <w:style w:type="paragraph" w:styleId="Pieddepage">
    <w:name w:val="footer"/>
    <w:basedOn w:val="Normal"/>
    <w:link w:val="PieddepageCar"/>
    <w:uiPriority w:val="99"/>
    <w:unhideWhenUsed/>
    <w:rsid w:val="005372C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372CB"/>
    <w:rPr>
      <w:rFonts w:ascii="Perpetua" w:eastAsia="Times New Roman" w:hAnsi="Perpetua" w:cs="Times New Roman"/>
      <w:color w:val="000000"/>
      <w:kern w:val="28"/>
      <w:sz w:val="21"/>
      <w:szCs w:val="21"/>
      <w:lang w:eastAsia="fr-FR"/>
      <w14:ligatures w14:val="standard"/>
      <w14:cntxtAlts/>
    </w:rPr>
  </w:style>
  <w:style w:type="paragraph" w:styleId="Notedebasdepage">
    <w:name w:val="footnote text"/>
    <w:basedOn w:val="Normal"/>
    <w:link w:val="NotedebasdepageCar"/>
    <w:uiPriority w:val="99"/>
    <w:semiHidden/>
    <w:unhideWhenUsed/>
    <w:rsid w:val="003A21E9"/>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3A21E9"/>
    <w:rPr>
      <w:rFonts w:ascii="Perpetua" w:eastAsia="Times New Roman" w:hAnsi="Perpetua" w:cs="Times New Roman"/>
      <w:color w:val="000000"/>
      <w:kern w:val="28"/>
      <w:sz w:val="20"/>
      <w:szCs w:val="20"/>
      <w:lang w:eastAsia="fr-FR"/>
      <w14:ligatures w14:val="standard"/>
      <w14:cntxtAlts/>
    </w:rPr>
  </w:style>
  <w:style w:type="character" w:styleId="Appelnotedebasdep">
    <w:name w:val="footnote reference"/>
    <w:basedOn w:val="Policepardfaut"/>
    <w:uiPriority w:val="99"/>
    <w:semiHidden/>
    <w:unhideWhenUsed/>
    <w:rsid w:val="003A21E9"/>
    <w:rPr>
      <w:vertAlign w:val="superscript"/>
    </w:rPr>
  </w:style>
  <w:style w:type="paragraph" w:styleId="Paragraphedeliste">
    <w:name w:val="List Paragraph"/>
    <w:basedOn w:val="Normal"/>
    <w:uiPriority w:val="34"/>
    <w:qFormat/>
    <w:rsid w:val="00552D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5176965">
      <w:bodyDiv w:val="1"/>
      <w:marLeft w:val="0"/>
      <w:marRight w:val="0"/>
      <w:marTop w:val="0"/>
      <w:marBottom w:val="0"/>
      <w:divBdr>
        <w:top w:val="none" w:sz="0" w:space="0" w:color="auto"/>
        <w:left w:val="none" w:sz="0" w:space="0" w:color="auto"/>
        <w:bottom w:val="none" w:sz="0" w:space="0" w:color="auto"/>
        <w:right w:val="none" w:sz="0" w:space="0" w:color="auto"/>
      </w:divBdr>
    </w:div>
    <w:div w:id="1936547816">
      <w:bodyDiv w:val="1"/>
      <w:marLeft w:val="0"/>
      <w:marRight w:val="0"/>
      <w:marTop w:val="0"/>
      <w:marBottom w:val="0"/>
      <w:divBdr>
        <w:top w:val="none" w:sz="0" w:space="0" w:color="auto"/>
        <w:left w:val="none" w:sz="0" w:space="0" w:color="auto"/>
        <w:bottom w:val="none" w:sz="0" w:space="0" w:color="auto"/>
        <w:right w:val="none" w:sz="0" w:space="0" w:color="auto"/>
      </w:divBdr>
    </w:div>
    <w:div w:id="2114661613">
      <w:bodyDiv w:val="1"/>
      <w:marLeft w:val="0"/>
      <w:marRight w:val="0"/>
      <w:marTop w:val="0"/>
      <w:marBottom w:val="0"/>
      <w:divBdr>
        <w:top w:val="none" w:sz="0" w:space="0" w:color="auto"/>
        <w:left w:val="none" w:sz="0" w:space="0" w:color="auto"/>
        <w:bottom w:val="none" w:sz="0" w:space="0" w:color="auto"/>
        <w:right w:val="none" w:sz="0" w:space="0" w:color="auto"/>
      </w:divBdr>
    </w:div>
    <w:div w:id="2121803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ctionnaire-juridique.com/definition/presomption-en-general.php"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un.org/french/documents/view_doc.asp?symbol=A/RES/47/133"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5B265A-7C01-4AE8-B4A3-E24B9A930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1210</Words>
  <Characters>6658</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Henry-Jean Fournier</dc:creator>
  <cp:keywords/>
  <dc:description/>
  <cp:lastModifiedBy>Henry-Jean Fournier</cp:lastModifiedBy>
  <cp:revision>3</cp:revision>
  <dcterms:created xsi:type="dcterms:W3CDTF">2024-05-25T06:08:00Z</dcterms:created>
  <dcterms:modified xsi:type="dcterms:W3CDTF">2024-05-25T06:16:00Z</dcterms:modified>
</cp:coreProperties>
</file>