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3E58" w:rsidRDefault="00D33E58" w:rsidP="00D33E58">
      <w:pPr>
        <w:spacing w:before="100" w:beforeAutospacing="1" w:after="100" w:afterAutospacing="1"/>
        <w:rPr>
          <w:rFonts w:ascii="Century Gothic" w:eastAsia="Times New Roman" w:hAnsi="Century Gothic" w:cs="Calibri"/>
          <w:b/>
          <w:bCs/>
          <w:color w:val="0070C0"/>
          <w:sz w:val="26"/>
          <w:szCs w:val="26"/>
          <w:lang w:eastAsia="fr-FR"/>
        </w:rPr>
      </w:pPr>
    </w:p>
    <w:p w:rsidR="00D33E58" w:rsidRDefault="00D33E58" w:rsidP="00D33E58">
      <w:pPr>
        <w:spacing w:before="100" w:beforeAutospacing="1" w:after="100" w:afterAutospacing="1"/>
        <w:rPr>
          <w:rFonts w:ascii="Century Gothic" w:eastAsia="Times New Roman" w:hAnsi="Century Gothic" w:cs="Calibri"/>
          <w:b/>
          <w:bCs/>
          <w:color w:val="0070C0"/>
          <w:sz w:val="26"/>
          <w:szCs w:val="26"/>
          <w:lang w:eastAsia="fr-FR"/>
        </w:rPr>
      </w:pPr>
    </w:p>
    <w:p w:rsidR="00D33E58" w:rsidRPr="00C94FFC" w:rsidRDefault="00D33E58" w:rsidP="00C94FFC">
      <w:pPr>
        <w:spacing w:before="100" w:beforeAutospacing="1" w:after="100" w:afterAutospacing="1"/>
        <w:jc w:val="center"/>
        <w:rPr>
          <w:rFonts w:ascii="Century Gothic" w:eastAsia="Times New Roman" w:hAnsi="Century Gothic" w:cs="Calibri"/>
          <w:b/>
          <w:bCs/>
          <w:color w:val="0070C0"/>
          <w:sz w:val="26"/>
          <w:szCs w:val="26"/>
          <w:lang w:eastAsia="fr-FR"/>
        </w:rPr>
      </w:pPr>
      <w:r>
        <w:rPr>
          <w:rFonts w:ascii="Century Gothic" w:eastAsia="Times New Roman" w:hAnsi="Century Gothic" w:cs="Calibri"/>
          <w:b/>
          <w:bCs/>
          <w:noProof/>
          <w:color w:val="0070C0"/>
          <w:sz w:val="26"/>
          <w:szCs w:val="26"/>
          <w:lang w:eastAsia="fr-FR"/>
        </w:rPr>
        <w:drawing>
          <wp:inline distT="0" distB="0" distL="0" distR="0" wp14:anchorId="4066B057" wp14:editId="3E87DD56">
            <wp:extent cx="3511685" cy="3511685"/>
            <wp:effectExtent l="0" t="0" r="635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ver-EtDeNousPodcast-v3.1-1500p.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16436" cy="3516436"/>
                    </a:xfrm>
                    <a:prstGeom prst="rect">
                      <a:avLst/>
                    </a:prstGeom>
                  </pic:spPr>
                </pic:pic>
              </a:graphicData>
            </a:graphic>
          </wp:inline>
        </w:drawing>
      </w:r>
    </w:p>
    <w:p w:rsidR="00D33E58" w:rsidRDefault="00D33E58" w:rsidP="00866521">
      <w:pPr>
        <w:spacing w:before="100" w:beforeAutospacing="1" w:after="100" w:afterAutospacing="1"/>
        <w:jc w:val="center"/>
        <w:rPr>
          <w:rFonts w:ascii="Century Gothic" w:eastAsia="Times New Roman" w:hAnsi="Century Gothic" w:cs="Calibri"/>
          <w:b/>
          <w:bCs/>
          <w:color w:val="00B0F0"/>
          <w:sz w:val="32"/>
          <w:szCs w:val="32"/>
          <w:lang w:eastAsia="fr-FR"/>
        </w:rPr>
      </w:pPr>
      <w:r w:rsidRPr="008159A0">
        <w:rPr>
          <w:rFonts w:ascii="Century Gothic" w:eastAsia="Times New Roman" w:hAnsi="Century Gothic" w:cs="Calibri"/>
          <w:b/>
          <w:bCs/>
          <w:color w:val="00B0F0"/>
          <w:sz w:val="32"/>
          <w:szCs w:val="32"/>
          <w:lang w:eastAsia="fr-FR"/>
        </w:rPr>
        <w:t xml:space="preserve">Et de nous qui se souviendra ? Le podcast qui donne la parole aux </w:t>
      </w:r>
      <w:proofErr w:type="spellStart"/>
      <w:r w:rsidRPr="008159A0">
        <w:rPr>
          <w:rFonts w:ascii="Century Gothic" w:eastAsia="Times New Roman" w:hAnsi="Century Gothic" w:cs="Calibri"/>
          <w:b/>
          <w:bCs/>
          <w:color w:val="00B0F0"/>
          <w:sz w:val="32"/>
          <w:szCs w:val="32"/>
          <w:lang w:eastAsia="fr-FR"/>
        </w:rPr>
        <w:t>Pieds-Noirs</w:t>
      </w:r>
      <w:proofErr w:type="spellEnd"/>
    </w:p>
    <w:p w:rsidR="008159A0" w:rsidRPr="007E04A1" w:rsidRDefault="008159A0" w:rsidP="00866521">
      <w:pPr>
        <w:spacing w:before="100" w:beforeAutospacing="1" w:after="100" w:afterAutospacing="1"/>
        <w:jc w:val="center"/>
        <w:rPr>
          <w:rFonts w:ascii="Calibri" w:eastAsia="Times New Roman" w:hAnsi="Calibri" w:cs="Calibri"/>
          <w:color w:val="00B0F0"/>
          <w:sz w:val="10"/>
          <w:szCs w:val="10"/>
          <w:lang w:eastAsia="fr-FR"/>
        </w:rPr>
      </w:pP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b/>
          <w:bCs/>
          <w:color w:val="000000"/>
          <w:sz w:val="22"/>
          <w:szCs w:val="22"/>
          <w:lang w:eastAsia="fr-FR"/>
        </w:rPr>
        <w:t xml:space="preserve">Hommage à une communauté en voie de disparition, </w:t>
      </w:r>
      <w:r>
        <w:rPr>
          <w:rFonts w:ascii="Century Gothic" w:eastAsia="Times New Roman" w:hAnsi="Century Gothic" w:cs="Calibri"/>
          <w:b/>
          <w:bCs/>
          <w:color w:val="000000"/>
          <w:sz w:val="22"/>
          <w:szCs w:val="22"/>
          <w:lang w:eastAsia="fr-FR"/>
        </w:rPr>
        <w:t xml:space="preserve">ce podcast </w:t>
      </w:r>
      <w:r w:rsidRPr="00014DA7">
        <w:rPr>
          <w:rFonts w:ascii="Century Gothic" w:eastAsia="Times New Roman" w:hAnsi="Century Gothic" w:cs="Calibri"/>
          <w:b/>
          <w:bCs/>
          <w:color w:val="000000"/>
          <w:sz w:val="22"/>
          <w:szCs w:val="22"/>
          <w:lang w:eastAsia="fr-FR"/>
        </w:rPr>
        <w:t xml:space="preserve">a pour objectif d’aider les </w:t>
      </w:r>
      <w:proofErr w:type="spellStart"/>
      <w:r w:rsidRPr="00014DA7">
        <w:rPr>
          <w:rFonts w:ascii="Century Gothic" w:eastAsia="Times New Roman" w:hAnsi="Century Gothic" w:cs="Calibri"/>
          <w:b/>
          <w:bCs/>
          <w:color w:val="000000"/>
          <w:sz w:val="22"/>
          <w:szCs w:val="22"/>
          <w:lang w:eastAsia="fr-FR"/>
        </w:rPr>
        <w:t>Pieds-Noirs</w:t>
      </w:r>
      <w:proofErr w:type="spellEnd"/>
      <w:r w:rsidRPr="00014DA7">
        <w:rPr>
          <w:rFonts w:ascii="Century Gothic" w:eastAsia="Times New Roman" w:hAnsi="Century Gothic" w:cs="Calibri"/>
          <w:b/>
          <w:bCs/>
          <w:color w:val="000000"/>
          <w:sz w:val="22"/>
          <w:szCs w:val="22"/>
          <w:lang w:eastAsia="fr-FR"/>
        </w:rPr>
        <w:t xml:space="preserve"> à transmettre. Il s’adresse à leurs descendants, aux enseignants qui souhaitent parler de l’histoire de l’Algérie et plus largement à tous ceux qui s’intéressent aux exils, à la résilience, et aux mémoires. Il interroge la vulnérabilité des exilés et l’exil comme acte fondateur, les questions d’identité, d’invisibilité et d’intégration, ainsi que le travail de mémoire. 10 épisodes ont été réalisés depuis le début de l’année 2022, année de commémoration du 60</w:t>
      </w:r>
      <w:r w:rsidRPr="00014DA7">
        <w:rPr>
          <w:rFonts w:ascii="Century Gothic" w:eastAsia="Times New Roman" w:hAnsi="Century Gothic" w:cs="Calibri"/>
          <w:b/>
          <w:bCs/>
          <w:color w:val="000000"/>
          <w:sz w:val="21"/>
          <w:szCs w:val="21"/>
          <w:vertAlign w:val="superscript"/>
          <w:lang w:eastAsia="fr-FR"/>
        </w:rPr>
        <w:t>e</w:t>
      </w:r>
      <w:r w:rsidRPr="00014DA7">
        <w:rPr>
          <w:rFonts w:ascii="Century Gothic" w:eastAsia="Times New Roman" w:hAnsi="Century Gothic" w:cs="Calibri"/>
          <w:b/>
          <w:bCs/>
          <w:color w:val="000000"/>
          <w:sz w:val="22"/>
          <w:szCs w:val="22"/>
          <w:lang w:eastAsia="fr-FR"/>
        </w:rPr>
        <w:t> anniversaire de la fin de la</w:t>
      </w:r>
      <w:r>
        <w:rPr>
          <w:rFonts w:ascii="Century Gothic" w:eastAsia="Times New Roman" w:hAnsi="Century Gothic" w:cs="Calibri"/>
          <w:b/>
          <w:bCs/>
          <w:color w:val="000000"/>
          <w:sz w:val="22"/>
          <w:szCs w:val="22"/>
          <w:lang w:eastAsia="fr-FR"/>
        </w:rPr>
        <w:t xml:space="preserve"> </w:t>
      </w:r>
      <w:r w:rsidRPr="00014DA7">
        <w:rPr>
          <w:rFonts w:ascii="Century Gothic" w:eastAsia="Times New Roman" w:hAnsi="Century Gothic" w:cs="Calibri"/>
          <w:b/>
          <w:bCs/>
          <w:color w:val="000000"/>
          <w:sz w:val="22"/>
          <w:szCs w:val="22"/>
          <w:lang w:eastAsia="fr-FR"/>
        </w:rPr>
        <w:t>guerre d’Algérie.</w:t>
      </w:r>
    </w:p>
    <w:p w:rsidR="00D33E58" w:rsidRPr="00014DA7" w:rsidRDefault="00D33E58" w:rsidP="00D33E58">
      <w:pPr>
        <w:spacing w:before="100" w:beforeAutospacing="1" w:after="100" w:afterAutospacing="1"/>
        <w:rPr>
          <w:rFonts w:ascii="Calibri" w:eastAsia="Times New Roman" w:hAnsi="Calibri" w:cs="Calibri"/>
          <w:color w:val="000000"/>
          <w:sz w:val="21"/>
          <w:szCs w:val="21"/>
          <w:lang w:eastAsia="fr-FR"/>
        </w:rPr>
      </w:pPr>
      <w:r w:rsidRPr="00014DA7">
        <w:rPr>
          <w:rFonts w:ascii="Century Gothic" w:eastAsia="Times New Roman" w:hAnsi="Century Gothic" w:cs="Calibri"/>
          <w:b/>
          <w:bCs/>
          <w:color w:val="C45911"/>
          <w:sz w:val="22"/>
          <w:szCs w:val="22"/>
          <w:lang w:eastAsia="fr-FR"/>
        </w:rPr>
        <w:t>Des récits de vie intimes et singuliers</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color w:val="000000"/>
          <w:sz w:val="22"/>
          <w:szCs w:val="22"/>
          <w:lang w:eastAsia="fr-FR"/>
        </w:rPr>
        <w:t>« Et de nous qui se souviendra</w:t>
      </w:r>
      <w:r w:rsidRPr="00014DA7">
        <w:rPr>
          <w:rFonts w:ascii="Century Gothic" w:eastAsia="Times New Roman" w:hAnsi="Century Gothic" w:cs="Calibri"/>
          <w:b/>
          <w:bCs/>
          <w:color w:val="000000"/>
          <w:sz w:val="22"/>
          <w:szCs w:val="22"/>
          <w:lang w:eastAsia="fr-FR"/>
        </w:rPr>
        <w:t> </w:t>
      </w:r>
      <w:r w:rsidRPr="00014DA7">
        <w:rPr>
          <w:rFonts w:ascii="Century Gothic" w:eastAsia="Times New Roman" w:hAnsi="Century Gothic" w:cs="Calibri"/>
          <w:color w:val="000000"/>
          <w:sz w:val="22"/>
          <w:szCs w:val="22"/>
          <w:lang w:eastAsia="fr-FR"/>
        </w:rPr>
        <w:t>? »</w:t>
      </w:r>
      <w:r w:rsidRPr="00014DA7">
        <w:rPr>
          <w:rFonts w:ascii="Century Gothic" w:eastAsia="Times New Roman" w:hAnsi="Century Gothic" w:cs="Calibri"/>
          <w:b/>
          <w:bCs/>
          <w:i/>
          <w:iCs/>
          <w:color w:val="000000"/>
          <w:sz w:val="22"/>
          <w:szCs w:val="22"/>
          <w:lang w:eastAsia="fr-FR"/>
        </w:rPr>
        <w:t> </w:t>
      </w:r>
      <w:r w:rsidRPr="00014DA7">
        <w:rPr>
          <w:rFonts w:ascii="Century Gothic" w:eastAsia="Times New Roman" w:hAnsi="Century Gothic" w:cs="Calibri"/>
          <w:color w:val="000000"/>
          <w:sz w:val="22"/>
          <w:szCs w:val="22"/>
          <w:lang w:eastAsia="fr-FR"/>
        </w:rPr>
        <w:t xml:space="preserve">donne la parole à des témoins qui ont vécu leur enfance ou leur jeunesse en Algérie avant l’indépendance, ces « rapatriés » que l’on appela les </w:t>
      </w:r>
      <w:proofErr w:type="spellStart"/>
      <w:r w:rsidRPr="00014DA7">
        <w:rPr>
          <w:rFonts w:ascii="Century Gothic" w:eastAsia="Times New Roman" w:hAnsi="Century Gothic" w:cs="Calibri"/>
          <w:color w:val="000000"/>
          <w:sz w:val="22"/>
          <w:szCs w:val="22"/>
          <w:lang w:eastAsia="fr-FR"/>
        </w:rPr>
        <w:t>Pieds-Noirs</w:t>
      </w:r>
      <w:proofErr w:type="spellEnd"/>
      <w:r w:rsidRPr="00014DA7">
        <w:rPr>
          <w:rFonts w:ascii="Century Gothic" w:eastAsia="Times New Roman" w:hAnsi="Century Gothic" w:cs="Calibri"/>
          <w:color w:val="000000"/>
          <w:sz w:val="22"/>
          <w:szCs w:val="22"/>
          <w:lang w:eastAsia="fr-FR"/>
        </w:rPr>
        <w:t>. Aujourd’hui au seuil de leur vie, quelques-uns ont accepté de raconter leur histoire d’Algérie. Ils ont osé nous dire ce qu’ils ont encore sur le cœur, 60 ans après. Comment, débarqués d’Algérie, laissant derrière eux leur terre, leur maison, leur travail, leurs tombes, ils se sont reconstruits et intégrés dans la société française. Pourquoi, coupés de leur origine, placés du mauvais côté de l’Histoire, pris au piège des guerres mémorielles ou des querelles idéologiques, ils se sont sentis « à part », différents. Et pourquoi beaucoup d’entre eux se sont tus, longtemps.</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color w:val="000000"/>
          <w:sz w:val="22"/>
          <w:szCs w:val="22"/>
          <w:lang w:eastAsia="fr-FR"/>
        </w:rPr>
        <w:lastRenderedPageBreak/>
        <w:t>Chaque épisode, d’une trentaine de minutes, est entièrement consacré à un récit personnel de vie, mêlant souvenirs et ressentis, passé et présent, histoire et intimité. A la fin le témoin tente, d’une voix mûrie de l’expérience de toute une vie, de répondre à la question : que restera-t-il de cette histoire ? </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i/>
          <w:iCs/>
          <w:color w:val="000000"/>
          <w:sz w:val="22"/>
          <w:szCs w:val="22"/>
          <w:lang w:eastAsia="fr-FR"/>
        </w:rPr>
        <w:t> « Seul m’importe le récit des témoins et cette part de vérité intrinsèque qu’il transport</w:t>
      </w:r>
      <w:r>
        <w:rPr>
          <w:rFonts w:ascii="Century Gothic" w:eastAsia="Times New Roman" w:hAnsi="Century Gothic" w:cs="Calibri"/>
          <w:i/>
          <w:iCs/>
          <w:color w:val="000000"/>
          <w:sz w:val="22"/>
          <w:szCs w:val="22"/>
          <w:lang w:eastAsia="fr-FR"/>
        </w:rPr>
        <w:t>e</w:t>
      </w:r>
      <w:r w:rsidRPr="00014DA7">
        <w:rPr>
          <w:rFonts w:ascii="Century Gothic" w:eastAsia="Times New Roman" w:hAnsi="Century Gothic" w:cs="Calibri"/>
          <w:i/>
          <w:iCs/>
          <w:color w:val="000000"/>
          <w:sz w:val="22"/>
          <w:szCs w:val="22"/>
          <w:lang w:eastAsia="fr-FR"/>
        </w:rPr>
        <w:t xml:space="preserve"> du simple fait de l’expérience vécue. Chaque histoire est singulière,</w:t>
      </w:r>
      <w:r>
        <w:rPr>
          <w:rFonts w:ascii="Century Gothic" w:eastAsia="Times New Roman" w:hAnsi="Century Gothic" w:cs="Calibri"/>
          <w:i/>
          <w:iCs/>
          <w:color w:val="000000"/>
          <w:sz w:val="22"/>
          <w:szCs w:val="22"/>
          <w:lang w:eastAsia="fr-FR"/>
        </w:rPr>
        <w:t xml:space="preserve"> </w:t>
      </w:r>
      <w:r w:rsidRPr="00014DA7">
        <w:rPr>
          <w:rFonts w:ascii="Century Gothic" w:eastAsia="Times New Roman" w:hAnsi="Century Gothic" w:cs="Calibri"/>
          <w:i/>
          <w:iCs/>
          <w:color w:val="000000"/>
          <w:sz w:val="22"/>
          <w:szCs w:val="22"/>
          <w:lang w:eastAsia="fr-FR"/>
        </w:rPr>
        <w:t>unique, elle occupe toute la place et ne représente qu’elle-même. J’accueille la parole qui émerge avec plusieurs objectifs : descendre le plus possible dans l’intériorité du témoin en respectant ce qui à cet instant est possible, inscrire son témoignage dans le temps – les six décennies écoulées depuis l’indépendance de l’Algérie - et faire ressortir l’impact que cette guerre a eu sur une vie entière » précise l</w:t>
      </w:r>
      <w:r w:rsidRPr="00014DA7">
        <w:rPr>
          <w:rFonts w:ascii="Century Gothic" w:eastAsia="Times New Roman" w:hAnsi="Century Gothic" w:cs="Calibri"/>
          <w:color w:val="000000"/>
          <w:sz w:val="22"/>
          <w:szCs w:val="22"/>
          <w:lang w:eastAsia="fr-FR"/>
        </w:rPr>
        <w:t>’auteur</w:t>
      </w:r>
      <w:r>
        <w:rPr>
          <w:rFonts w:ascii="Century Gothic" w:eastAsia="Times New Roman" w:hAnsi="Century Gothic" w:cs="Calibri"/>
          <w:color w:val="000000"/>
          <w:sz w:val="22"/>
          <w:szCs w:val="22"/>
          <w:lang w:eastAsia="fr-FR"/>
        </w:rPr>
        <w:t>e</w:t>
      </w:r>
      <w:r w:rsidRPr="00014DA7">
        <w:rPr>
          <w:rFonts w:ascii="Century Gothic" w:eastAsia="Times New Roman" w:hAnsi="Century Gothic" w:cs="Calibri"/>
          <w:color w:val="000000"/>
          <w:sz w:val="22"/>
          <w:szCs w:val="22"/>
          <w:lang w:eastAsia="fr-FR"/>
        </w:rPr>
        <w:t>.</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b/>
          <w:bCs/>
          <w:color w:val="C45911"/>
          <w:sz w:val="22"/>
          <w:szCs w:val="22"/>
          <w:lang w:eastAsia="fr-FR"/>
        </w:rPr>
        <w:t>Le podcast comme vecteur de transmission de la mémoire d’une communauté</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i/>
          <w:iCs/>
          <w:color w:val="000000"/>
          <w:sz w:val="22"/>
          <w:szCs w:val="22"/>
          <w:lang w:eastAsia="fr-FR"/>
        </w:rPr>
        <w:t xml:space="preserve">« La forme très libre du podcast et l’anonymat des témoignages libèrent une parole que la société française n’a ni accueillie, ni reconnue pendant les six dernières décennies. L’histoire des </w:t>
      </w:r>
      <w:proofErr w:type="spellStart"/>
      <w:r w:rsidRPr="00014DA7">
        <w:rPr>
          <w:rFonts w:ascii="Century Gothic" w:eastAsia="Times New Roman" w:hAnsi="Century Gothic" w:cs="Calibri"/>
          <w:i/>
          <w:iCs/>
          <w:color w:val="000000"/>
          <w:sz w:val="22"/>
          <w:szCs w:val="22"/>
          <w:lang w:eastAsia="fr-FR"/>
        </w:rPr>
        <w:t>Pieds-Noirs</w:t>
      </w:r>
      <w:proofErr w:type="spellEnd"/>
      <w:r w:rsidRPr="00014DA7">
        <w:rPr>
          <w:rFonts w:ascii="Century Gothic" w:eastAsia="Times New Roman" w:hAnsi="Century Gothic" w:cs="Calibri"/>
          <w:i/>
          <w:iCs/>
          <w:color w:val="000000"/>
          <w:sz w:val="22"/>
          <w:szCs w:val="22"/>
          <w:lang w:eastAsia="fr-FR"/>
        </w:rPr>
        <w:t xml:space="preserve"> est une histoire de mémoires blessées et de silences. Ce que nous expliquent les témoins, c’est qu’ils n’ont pas pu dire les choses </w:t>
      </w:r>
      <w:r>
        <w:rPr>
          <w:rFonts w:ascii="Century Gothic" w:eastAsia="Times New Roman" w:hAnsi="Century Gothic" w:cs="Calibri"/>
          <w:i/>
          <w:iCs/>
          <w:color w:val="000000"/>
          <w:sz w:val="22"/>
          <w:szCs w:val="22"/>
          <w:lang w:eastAsia="fr-FR"/>
        </w:rPr>
        <w:t xml:space="preserve">et que </w:t>
      </w:r>
      <w:r w:rsidRPr="00014DA7">
        <w:rPr>
          <w:rFonts w:ascii="Century Gothic" w:eastAsia="Times New Roman" w:hAnsi="Century Gothic" w:cs="Calibri"/>
          <w:i/>
          <w:iCs/>
          <w:color w:val="000000"/>
          <w:sz w:val="22"/>
          <w:szCs w:val="22"/>
          <w:lang w:eastAsia="fr-FR"/>
        </w:rPr>
        <w:t>leurs enfants ne leur ont pas posé de questions. Les familles ont été le lieu de l’oubli, du silence, du déni »</w:t>
      </w:r>
      <w:r w:rsidRPr="00014DA7">
        <w:rPr>
          <w:rFonts w:ascii="Century Gothic" w:eastAsia="Times New Roman" w:hAnsi="Century Gothic" w:cs="Calibri"/>
          <w:color w:val="000000"/>
          <w:sz w:val="22"/>
          <w:szCs w:val="22"/>
          <w:lang w:eastAsia="fr-FR"/>
        </w:rPr>
        <w:t>.</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color w:val="000000"/>
          <w:sz w:val="22"/>
          <w:szCs w:val="22"/>
          <w:lang w:eastAsia="fr-FR"/>
        </w:rPr>
        <w:t xml:space="preserve">La non-transmission, pour atténuer les souffrances ou comme condition de l’intégration, ne doit pas faire oublier le drame des </w:t>
      </w:r>
      <w:proofErr w:type="spellStart"/>
      <w:r w:rsidRPr="00014DA7">
        <w:rPr>
          <w:rFonts w:ascii="Century Gothic" w:eastAsia="Times New Roman" w:hAnsi="Century Gothic" w:cs="Calibri"/>
          <w:color w:val="000000"/>
          <w:sz w:val="22"/>
          <w:szCs w:val="22"/>
          <w:lang w:eastAsia="fr-FR"/>
        </w:rPr>
        <w:t>Pieds-Noirs</w:t>
      </w:r>
      <w:proofErr w:type="spellEnd"/>
      <w:r w:rsidRPr="00014DA7">
        <w:rPr>
          <w:rFonts w:ascii="Century Gothic" w:eastAsia="Times New Roman" w:hAnsi="Century Gothic" w:cs="Calibri"/>
          <w:color w:val="000000"/>
          <w:sz w:val="22"/>
          <w:szCs w:val="22"/>
          <w:lang w:eastAsia="fr-FR"/>
        </w:rPr>
        <w:t>. Ceux qui l’ont vécu le porteront jusqu’à la fin de leur vie, et leurs descendants, bien qu’invisibles, en conservent la trace.</w:t>
      </w:r>
    </w:p>
    <w:p w:rsidR="00D33E58" w:rsidRPr="00014DA7" w:rsidRDefault="00D33E58" w:rsidP="00D33E58">
      <w:pPr>
        <w:spacing w:before="100" w:beforeAutospacing="1" w:after="100" w:afterAutospacing="1"/>
        <w:jc w:val="both"/>
        <w:rPr>
          <w:rFonts w:ascii="Calibri" w:eastAsia="Times New Roman" w:hAnsi="Calibri" w:cs="Calibri"/>
          <w:color w:val="000000"/>
          <w:sz w:val="21"/>
          <w:szCs w:val="21"/>
          <w:lang w:eastAsia="fr-FR"/>
        </w:rPr>
      </w:pPr>
      <w:r w:rsidRPr="00014DA7">
        <w:rPr>
          <w:rFonts w:ascii="Century Gothic" w:eastAsia="Times New Roman" w:hAnsi="Century Gothic" w:cs="Calibri"/>
          <w:color w:val="000000"/>
          <w:sz w:val="22"/>
          <w:szCs w:val="22"/>
          <w:lang w:eastAsia="fr-FR"/>
        </w:rPr>
        <w:t>Faire entendre cette parole propre à ceux qui sont arrachés à leur terre natale et la rendre accessible au plus grand nombre</w:t>
      </w:r>
      <w:r>
        <w:rPr>
          <w:rFonts w:ascii="Century Gothic" w:eastAsia="Times New Roman" w:hAnsi="Century Gothic" w:cs="Calibri"/>
          <w:color w:val="000000"/>
          <w:sz w:val="22"/>
          <w:szCs w:val="22"/>
          <w:lang w:eastAsia="fr-FR"/>
        </w:rPr>
        <w:t>,</w:t>
      </w:r>
      <w:r w:rsidRPr="00014DA7">
        <w:rPr>
          <w:rFonts w:ascii="Century Gothic" w:eastAsia="Times New Roman" w:hAnsi="Century Gothic" w:cs="Calibri"/>
          <w:color w:val="000000"/>
          <w:sz w:val="22"/>
          <w:szCs w:val="22"/>
          <w:lang w:eastAsia="fr-FR"/>
        </w:rPr>
        <w:t xml:space="preserve"> en offrant à chacun la possibilité de transmettre une mémoire qui s’éteint, sont autant d’actes symboliques que le podcast favorise.</w:t>
      </w:r>
    </w:p>
    <w:p w:rsidR="00D33E58" w:rsidRPr="00014DA7" w:rsidRDefault="00122192" w:rsidP="00D33E58">
      <w:pPr>
        <w:jc w:val="center"/>
        <w:rPr>
          <w:rFonts w:ascii="Times New Roman" w:eastAsia="Times New Roman" w:hAnsi="Times New Roman" w:cs="Times New Roman"/>
          <w:color w:val="000000"/>
          <w:sz w:val="22"/>
          <w:szCs w:val="22"/>
          <w:lang w:eastAsia="fr-FR"/>
        </w:rPr>
      </w:pPr>
      <w:r>
        <w:rPr>
          <w:rFonts w:ascii="Times New Roman" w:eastAsia="Times New Roman" w:hAnsi="Times New Roman" w:cs="Times New Roman"/>
          <w:noProof/>
          <w:color w:val="000000"/>
          <w:sz w:val="22"/>
          <w:szCs w:val="22"/>
          <w:lang w:eastAsia="fr-FR"/>
        </w:rPr>
        <w:pict w14:anchorId="7D42FD03">
          <v:rect id="_x0000_i1025" alt="" style="width:453.3pt;height:.05pt;mso-width-percent:0;mso-height-percent:0;mso-width-percent:0;mso-height-percent:0" o:hralign="center" o:hrstd="t" o:hr="t" fillcolor="#a0a0a0" stroked="f"/>
        </w:pict>
      </w:r>
    </w:p>
    <w:p w:rsidR="002F3C1D" w:rsidRPr="00561F55" w:rsidRDefault="00D33E58" w:rsidP="00D33E58">
      <w:pPr>
        <w:spacing w:before="100" w:beforeAutospacing="1" w:after="100" w:afterAutospacing="1"/>
        <w:jc w:val="both"/>
        <w:rPr>
          <w:rFonts w:ascii="Century Gothic" w:eastAsia="Times New Roman" w:hAnsi="Century Gothic" w:cs="Calibri"/>
          <w:color w:val="000000"/>
          <w:sz w:val="22"/>
          <w:szCs w:val="22"/>
          <w:lang w:eastAsia="fr-FR"/>
        </w:rPr>
      </w:pPr>
      <w:r w:rsidRPr="00561F55">
        <w:rPr>
          <w:rFonts w:ascii="Century Gothic" w:eastAsia="Times New Roman" w:hAnsi="Century Gothic" w:cs="Calibri"/>
          <w:b/>
          <w:bCs/>
          <w:color w:val="C45911"/>
          <w:sz w:val="22"/>
          <w:szCs w:val="22"/>
          <w:lang w:eastAsia="fr-FR"/>
        </w:rPr>
        <w:t>L’auteure : </w:t>
      </w:r>
      <w:r w:rsidRPr="00561F55">
        <w:rPr>
          <w:rFonts w:ascii="Century Gothic" w:eastAsia="Times New Roman" w:hAnsi="Century Gothic" w:cs="Calibri"/>
          <w:color w:val="000000"/>
          <w:sz w:val="22"/>
          <w:szCs w:val="22"/>
          <w:lang w:eastAsia="fr-FR"/>
        </w:rPr>
        <w:t xml:space="preserve">Nicole </w:t>
      </w:r>
      <w:proofErr w:type="spellStart"/>
      <w:r w:rsidRPr="00561F55">
        <w:rPr>
          <w:rFonts w:ascii="Century Gothic" w:eastAsia="Times New Roman" w:hAnsi="Century Gothic" w:cs="Calibri"/>
          <w:color w:val="000000"/>
          <w:sz w:val="22"/>
          <w:szCs w:val="22"/>
          <w:lang w:eastAsia="fr-FR"/>
        </w:rPr>
        <w:t>Guidicelli</w:t>
      </w:r>
      <w:proofErr w:type="spellEnd"/>
      <w:r w:rsidRPr="00561F55">
        <w:rPr>
          <w:rFonts w:ascii="Century Gothic" w:eastAsia="Times New Roman" w:hAnsi="Century Gothic" w:cs="Calibri"/>
          <w:color w:val="000000"/>
          <w:sz w:val="22"/>
          <w:szCs w:val="22"/>
          <w:lang w:eastAsia="fr-FR"/>
        </w:rPr>
        <w:t xml:space="preserve"> est Pied-Noir. Elle est née à Blida, en Algérie, deux ans avant l’indépendance et vit à Lyon. Elle a fait Science Po Lyon, le </w:t>
      </w:r>
      <w:proofErr w:type="spellStart"/>
      <w:r w:rsidRPr="00561F55">
        <w:rPr>
          <w:rFonts w:ascii="Century Gothic" w:eastAsia="Times New Roman" w:hAnsi="Century Gothic" w:cs="Calibri"/>
          <w:color w:val="000000"/>
          <w:sz w:val="22"/>
          <w:szCs w:val="22"/>
          <w:lang w:eastAsia="fr-FR"/>
        </w:rPr>
        <w:t>Celsa</w:t>
      </w:r>
      <w:proofErr w:type="spellEnd"/>
      <w:r w:rsidRPr="00561F55">
        <w:rPr>
          <w:rFonts w:ascii="Century Gothic" w:eastAsia="Times New Roman" w:hAnsi="Century Gothic" w:cs="Calibri"/>
          <w:color w:val="000000"/>
          <w:sz w:val="22"/>
          <w:szCs w:val="22"/>
          <w:lang w:eastAsia="fr-FR"/>
        </w:rPr>
        <w:t xml:space="preserve">, et a occupé des fonctions de direction en entreprises dans les domaines de la communication, du mécénat et des fondations. Fière de ses parents et de son héritage, elle a décidé de réaliser ce podcast pour donner la parole à des </w:t>
      </w:r>
      <w:proofErr w:type="spellStart"/>
      <w:r w:rsidRPr="00561F55">
        <w:rPr>
          <w:rFonts w:ascii="Century Gothic" w:eastAsia="Times New Roman" w:hAnsi="Century Gothic" w:cs="Calibri"/>
          <w:color w:val="000000"/>
          <w:sz w:val="22"/>
          <w:szCs w:val="22"/>
          <w:lang w:eastAsia="fr-FR"/>
        </w:rPr>
        <w:t>Pieds-Noirs</w:t>
      </w:r>
      <w:proofErr w:type="spellEnd"/>
      <w:r w:rsidRPr="00561F55">
        <w:rPr>
          <w:rFonts w:ascii="Century Gothic" w:eastAsia="Times New Roman" w:hAnsi="Century Gothic" w:cs="Calibri"/>
          <w:color w:val="000000"/>
          <w:sz w:val="22"/>
          <w:szCs w:val="22"/>
          <w:lang w:eastAsia="fr-FR"/>
        </w:rPr>
        <w:t xml:space="preserve"> et les aider à transmettre. Une façon pour elle de faire sa part du devoir de mémoire.</w:t>
      </w:r>
    </w:p>
    <w:p w:rsidR="00D33E58" w:rsidRPr="00561F55" w:rsidRDefault="00D33E58" w:rsidP="00D33E58">
      <w:pPr>
        <w:spacing w:before="100" w:beforeAutospacing="1" w:after="100" w:afterAutospacing="1"/>
        <w:jc w:val="both"/>
        <w:rPr>
          <w:rFonts w:ascii="Century Gothic" w:eastAsia="Times New Roman" w:hAnsi="Century Gothic" w:cs="Calibri"/>
          <w:color w:val="000000"/>
          <w:sz w:val="22"/>
          <w:szCs w:val="22"/>
          <w:lang w:eastAsia="fr-FR"/>
        </w:rPr>
      </w:pPr>
      <w:r w:rsidRPr="00561F55">
        <w:rPr>
          <w:rFonts w:ascii="Century Gothic" w:eastAsia="Times New Roman" w:hAnsi="Century Gothic" w:cs="Calibri"/>
          <w:b/>
          <w:color w:val="C00000"/>
          <w:sz w:val="22"/>
          <w:szCs w:val="22"/>
          <w:lang w:eastAsia="fr-FR"/>
        </w:rPr>
        <w:t>Les fichiers de ce podcast sont en ligne sur AUSHA</w:t>
      </w:r>
      <w:r w:rsidRPr="00561F55">
        <w:rPr>
          <w:rFonts w:ascii="Century Gothic" w:eastAsia="Times New Roman" w:hAnsi="Century Gothic" w:cs="Calibri"/>
          <w:color w:val="C00000"/>
          <w:sz w:val="22"/>
          <w:szCs w:val="22"/>
          <w:lang w:eastAsia="fr-FR"/>
        </w:rPr>
        <w:t> :</w:t>
      </w:r>
      <w:r w:rsidR="001E3A7D" w:rsidRPr="00561F55">
        <w:rPr>
          <w:rFonts w:ascii="Century Gothic" w:eastAsia="Times New Roman" w:hAnsi="Century Gothic" w:cs="Calibri"/>
          <w:color w:val="000000"/>
          <w:sz w:val="22"/>
          <w:szCs w:val="22"/>
          <w:lang w:eastAsia="fr-FR"/>
        </w:rPr>
        <w:t xml:space="preserve"> </w:t>
      </w:r>
      <w:hyperlink r:id="rId5" w:history="1">
        <w:r w:rsidR="001E3A7D" w:rsidRPr="00561F55">
          <w:rPr>
            <w:rStyle w:val="Lienhypertexte"/>
            <w:rFonts w:ascii="Century Gothic" w:hAnsi="Century Gothic" w:cs="Helvetica"/>
            <w:sz w:val="22"/>
            <w:szCs w:val="22"/>
          </w:rPr>
          <w:t>https://podcast.ausha.co/et-de-nous-qui-se-souvi</w:t>
        </w:r>
        <w:r w:rsidR="001E3A7D" w:rsidRPr="00561F55">
          <w:rPr>
            <w:rStyle w:val="Lienhypertexte"/>
            <w:rFonts w:ascii="Century Gothic" w:hAnsi="Century Gothic" w:cs="Helvetica"/>
            <w:sz w:val="22"/>
            <w:szCs w:val="22"/>
          </w:rPr>
          <w:t>e</w:t>
        </w:r>
        <w:r w:rsidR="001E3A7D" w:rsidRPr="00561F55">
          <w:rPr>
            <w:rStyle w:val="Lienhypertexte"/>
            <w:rFonts w:ascii="Century Gothic" w:hAnsi="Century Gothic" w:cs="Helvetica"/>
            <w:sz w:val="22"/>
            <w:szCs w:val="22"/>
          </w:rPr>
          <w:t>ndra</w:t>
        </w:r>
      </w:hyperlink>
    </w:p>
    <w:p w:rsidR="00D33E58" w:rsidRPr="00561F55" w:rsidRDefault="00D33E58" w:rsidP="00D33E58">
      <w:pPr>
        <w:spacing w:before="100" w:beforeAutospacing="1" w:after="100" w:afterAutospacing="1"/>
        <w:jc w:val="both"/>
        <w:rPr>
          <w:rFonts w:ascii="Century Gothic" w:eastAsia="Times New Roman" w:hAnsi="Century Gothic" w:cs="Calibri"/>
          <w:color w:val="000000"/>
          <w:sz w:val="22"/>
          <w:szCs w:val="22"/>
          <w:lang w:eastAsia="fr-FR"/>
        </w:rPr>
      </w:pPr>
      <w:r w:rsidRPr="00561F55">
        <w:rPr>
          <w:rFonts w:ascii="Century Gothic" w:eastAsia="Times New Roman" w:hAnsi="Century Gothic" w:cs="Calibri"/>
          <w:b/>
          <w:color w:val="C00000"/>
          <w:sz w:val="22"/>
          <w:szCs w:val="22"/>
          <w:lang w:eastAsia="fr-FR"/>
        </w:rPr>
        <w:t>Et sur toutes les plateformes d’écoute Internet </w:t>
      </w:r>
      <w:r w:rsidRPr="00561F55">
        <w:rPr>
          <w:rFonts w:ascii="Century Gothic" w:eastAsia="Times New Roman" w:hAnsi="Century Gothic" w:cs="Calibri"/>
          <w:color w:val="C00000"/>
          <w:sz w:val="22"/>
          <w:szCs w:val="22"/>
          <w:lang w:eastAsia="fr-FR"/>
        </w:rPr>
        <w:t xml:space="preserve">: </w:t>
      </w:r>
      <w:r w:rsidR="001E3A7D" w:rsidRPr="00561F55">
        <w:rPr>
          <w:rFonts w:ascii="Century Gothic" w:eastAsia="Times New Roman" w:hAnsi="Century Gothic" w:cs="Calibri"/>
          <w:color w:val="000000"/>
          <w:sz w:val="22"/>
          <w:szCs w:val="22"/>
          <w:lang w:eastAsia="fr-FR"/>
        </w:rPr>
        <w:fldChar w:fldCharType="begin"/>
      </w:r>
      <w:r w:rsidR="001E3A7D" w:rsidRPr="00561F55">
        <w:rPr>
          <w:rFonts w:ascii="Century Gothic" w:eastAsia="Times New Roman" w:hAnsi="Century Gothic" w:cs="Calibri"/>
          <w:color w:val="000000"/>
          <w:sz w:val="22"/>
          <w:szCs w:val="22"/>
          <w:lang w:eastAsia="fr-FR"/>
        </w:rPr>
        <w:instrText xml:space="preserve"> HYPERLINK "</w:instrText>
      </w:r>
      <w:r w:rsidR="001E3A7D" w:rsidRPr="00561F55">
        <w:rPr>
          <w:rFonts w:ascii="Century Gothic" w:eastAsia="Times New Roman" w:hAnsi="Century Gothic" w:cs="Calibri"/>
          <w:color w:val="000000"/>
          <w:sz w:val="22"/>
          <w:szCs w:val="22"/>
          <w:lang w:eastAsia="fr-FR"/>
        </w:rPr>
        <w:instrText>https://smartlink.ausha.co/et-de-nous-qui-se-souviendra</w:instrText>
      </w:r>
      <w:r w:rsidR="001E3A7D" w:rsidRPr="00561F55">
        <w:rPr>
          <w:rFonts w:ascii="Century Gothic" w:eastAsia="Times New Roman" w:hAnsi="Century Gothic" w:cs="Calibri"/>
          <w:color w:val="000000"/>
          <w:sz w:val="22"/>
          <w:szCs w:val="22"/>
          <w:lang w:eastAsia="fr-FR"/>
        </w:rPr>
        <w:instrText xml:space="preserve">" </w:instrText>
      </w:r>
      <w:r w:rsidR="001E3A7D" w:rsidRPr="00561F55">
        <w:rPr>
          <w:rFonts w:ascii="Century Gothic" w:eastAsia="Times New Roman" w:hAnsi="Century Gothic" w:cs="Calibri"/>
          <w:color w:val="000000"/>
          <w:sz w:val="22"/>
          <w:szCs w:val="22"/>
          <w:lang w:eastAsia="fr-FR"/>
        </w:rPr>
        <w:fldChar w:fldCharType="separate"/>
      </w:r>
      <w:r w:rsidR="001E3A7D" w:rsidRPr="00561F55">
        <w:rPr>
          <w:rStyle w:val="Lienhypertexte"/>
          <w:rFonts w:ascii="Century Gothic" w:eastAsia="Times New Roman" w:hAnsi="Century Gothic" w:cs="Calibri"/>
          <w:sz w:val="22"/>
          <w:szCs w:val="22"/>
          <w:lang w:eastAsia="fr-FR"/>
        </w:rPr>
        <w:t>h</w:t>
      </w:r>
      <w:r w:rsidR="001E3A7D" w:rsidRPr="00561F55">
        <w:rPr>
          <w:rStyle w:val="Lienhypertexte"/>
          <w:rFonts w:ascii="Century Gothic" w:eastAsia="Times New Roman" w:hAnsi="Century Gothic" w:cs="Calibri"/>
          <w:sz w:val="22"/>
          <w:szCs w:val="22"/>
          <w:lang w:eastAsia="fr-FR"/>
        </w:rPr>
        <w:t>t</w:t>
      </w:r>
      <w:r w:rsidR="001E3A7D" w:rsidRPr="00561F55">
        <w:rPr>
          <w:rStyle w:val="Lienhypertexte"/>
          <w:rFonts w:ascii="Century Gothic" w:eastAsia="Times New Roman" w:hAnsi="Century Gothic" w:cs="Calibri"/>
          <w:sz w:val="22"/>
          <w:szCs w:val="22"/>
          <w:lang w:eastAsia="fr-FR"/>
        </w:rPr>
        <w:t>tps://smartlink.ausha.co/et-de-nous-qui-se-souviendra</w:t>
      </w:r>
      <w:r w:rsidR="001E3A7D" w:rsidRPr="00561F55">
        <w:rPr>
          <w:rFonts w:ascii="Century Gothic" w:eastAsia="Times New Roman" w:hAnsi="Century Gothic" w:cs="Calibri"/>
          <w:color w:val="000000"/>
          <w:sz w:val="22"/>
          <w:szCs w:val="22"/>
          <w:lang w:eastAsia="fr-FR"/>
        </w:rPr>
        <w:fldChar w:fldCharType="end"/>
      </w:r>
    </w:p>
    <w:p w:rsidR="009F51E5" w:rsidRPr="00561F55" w:rsidRDefault="009F51E5">
      <w:bookmarkStart w:id="0" w:name="_GoBack"/>
      <w:bookmarkEnd w:id="0"/>
    </w:p>
    <w:sectPr w:rsidR="009F51E5" w:rsidRPr="00561F55" w:rsidSect="005B0CD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E58"/>
    <w:rsid w:val="00045EC2"/>
    <w:rsid w:val="00122192"/>
    <w:rsid w:val="001E3A7D"/>
    <w:rsid w:val="002F3C1D"/>
    <w:rsid w:val="003F4012"/>
    <w:rsid w:val="00467038"/>
    <w:rsid w:val="00561F55"/>
    <w:rsid w:val="005B0CD1"/>
    <w:rsid w:val="005C0504"/>
    <w:rsid w:val="00787A3E"/>
    <w:rsid w:val="007E04A1"/>
    <w:rsid w:val="008159A0"/>
    <w:rsid w:val="00866521"/>
    <w:rsid w:val="009F51E5"/>
    <w:rsid w:val="00C94FFC"/>
    <w:rsid w:val="00CB5FA3"/>
    <w:rsid w:val="00D020DA"/>
    <w:rsid w:val="00D33E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18E54"/>
  <w15:chartTrackingRefBased/>
  <w15:docId w15:val="{0915AA91-2F1B-DE4D-8E3C-F9B470146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3E5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33E58"/>
    <w:rPr>
      <w:color w:val="0000FF"/>
      <w:u w:val="single"/>
    </w:rPr>
  </w:style>
  <w:style w:type="character" w:styleId="Mentionnonrsolue">
    <w:name w:val="Unresolved Mention"/>
    <w:basedOn w:val="Policepardfaut"/>
    <w:uiPriority w:val="99"/>
    <w:semiHidden/>
    <w:unhideWhenUsed/>
    <w:rsid w:val="001E3A7D"/>
    <w:rPr>
      <w:color w:val="605E5C"/>
      <w:shd w:val="clear" w:color="auto" w:fill="E1DFDD"/>
    </w:rPr>
  </w:style>
  <w:style w:type="character" w:styleId="Lienhypertextesuivivisit">
    <w:name w:val="FollowedHyperlink"/>
    <w:basedOn w:val="Policepardfaut"/>
    <w:uiPriority w:val="99"/>
    <w:semiHidden/>
    <w:unhideWhenUsed/>
    <w:rsid w:val="001E3A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odcast.ausha.co/et-de-nous-qui-se-souviendra" TargetMode="Externa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662</Words>
  <Characters>3642</Characters>
  <Application>Microsoft Office Word</Application>
  <DocSecurity>0</DocSecurity>
  <Lines>30</Lines>
  <Paragraphs>8</Paragraphs>
  <ScaleCrop>false</ScaleCrop>
  <Company/>
  <LinksUpToDate>false</LinksUpToDate>
  <CharactersWithSpaces>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GUIDICELLI</dc:creator>
  <cp:keywords/>
  <dc:description/>
  <cp:lastModifiedBy>Nicole GUIDICELLI</cp:lastModifiedBy>
  <cp:revision>16</cp:revision>
  <dcterms:created xsi:type="dcterms:W3CDTF">2024-05-11T09:57:00Z</dcterms:created>
  <dcterms:modified xsi:type="dcterms:W3CDTF">2024-05-11T10:02:00Z</dcterms:modified>
</cp:coreProperties>
</file>